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FA4C3" w14:textId="77777777" w:rsidR="003F23A7" w:rsidRDefault="003F23A7" w:rsidP="006222CF">
      <w:pPr>
        <w:rPr>
          <w:rFonts w:eastAsia="Times New Roman" w:cstheme="minorHAnsi"/>
          <w:b/>
          <w:sz w:val="28"/>
          <w:szCs w:val="28"/>
          <w:lang w:eastAsia="en-GB"/>
        </w:rPr>
      </w:pPr>
    </w:p>
    <w:p w14:paraId="1E8085CA" w14:textId="15E2BC8F" w:rsidR="003F23A7" w:rsidRPr="003C40F8" w:rsidRDefault="0095276E" w:rsidP="006222CF">
      <w:pPr>
        <w:rPr>
          <w:rFonts w:eastAsia="Times New Roman" w:cstheme="minorHAnsi"/>
          <w:b/>
          <w:lang w:eastAsia="en-GB"/>
        </w:rPr>
      </w:pPr>
      <w:r>
        <w:rPr>
          <w:rFonts w:eastAsia="Times New Roman" w:cstheme="minorHAnsi"/>
          <w:b/>
          <w:lang w:eastAsia="en-GB"/>
        </w:rPr>
        <w:t xml:space="preserve">Approved </w:t>
      </w:r>
      <w:r w:rsidR="003C40F8">
        <w:rPr>
          <w:rFonts w:eastAsia="Times New Roman" w:cstheme="minorHAnsi"/>
          <w:b/>
          <w:lang w:eastAsia="en-GB"/>
        </w:rPr>
        <w:t xml:space="preserve">Minute </w:t>
      </w:r>
      <w:r w:rsidR="0081219A" w:rsidRPr="003C40F8">
        <w:rPr>
          <w:rFonts w:eastAsia="Times New Roman" w:cstheme="minorHAnsi"/>
          <w:b/>
          <w:lang w:eastAsia="en-GB"/>
        </w:rPr>
        <w:t>Audit</w:t>
      </w:r>
      <w:r w:rsidR="003B3173" w:rsidRPr="003C40F8">
        <w:rPr>
          <w:rFonts w:eastAsia="Times New Roman" w:cstheme="minorHAnsi"/>
          <w:b/>
          <w:lang w:eastAsia="en-GB"/>
        </w:rPr>
        <w:t xml:space="preserve"> </w:t>
      </w:r>
      <w:r w:rsidR="005F38B7" w:rsidRPr="003C40F8">
        <w:rPr>
          <w:rFonts w:eastAsia="Times New Roman" w:cstheme="minorHAnsi"/>
          <w:b/>
          <w:lang w:eastAsia="en-GB"/>
        </w:rPr>
        <w:t xml:space="preserve">and Risk </w:t>
      </w:r>
      <w:r w:rsidR="00D6234B" w:rsidRPr="003C40F8">
        <w:rPr>
          <w:rFonts w:eastAsia="Times New Roman" w:cstheme="minorHAnsi"/>
          <w:b/>
          <w:lang w:eastAsia="en-GB"/>
        </w:rPr>
        <w:t>Committee</w:t>
      </w:r>
      <w:r w:rsidR="000C33B3" w:rsidRPr="003C40F8">
        <w:rPr>
          <w:rFonts w:eastAsia="Times New Roman" w:cstheme="minorHAnsi"/>
          <w:b/>
          <w:lang w:eastAsia="en-GB"/>
        </w:rPr>
        <w:t xml:space="preserve"> </w:t>
      </w:r>
      <w:bookmarkStart w:id="0" w:name="_GoBack"/>
      <w:bookmarkEnd w:id="0"/>
    </w:p>
    <w:p w14:paraId="43994BA8" w14:textId="77777777" w:rsidR="00BB164C" w:rsidRDefault="00343D9E" w:rsidP="006222CF">
      <w:pPr>
        <w:rPr>
          <w:rFonts w:eastAsia="Times New Roman" w:cstheme="minorHAnsi"/>
          <w:b/>
          <w:lang w:eastAsia="en-GB"/>
        </w:rPr>
      </w:pPr>
      <w:r>
        <w:rPr>
          <w:rFonts w:eastAsia="Times New Roman" w:cstheme="minorHAnsi"/>
          <w:b/>
          <w:lang w:eastAsia="en-GB"/>
        </w:rPr>
        <w:t>4</w:t>
      </w:r>
      <w:r w:rsidR="000370F0">
        <w:rPr>
          <w:rFonts w:eastAsia="Times New Roman" w:cstheme="minorHAnsi"/>
          <w:b/>
          <w:lang w:eastAsia="en-GB"/>
        </w:rPr>
        <w:t>.00 pm</w:t>
      </w:r>
      <w:r w:rsidR="00C7350E">
        <w:rPr>
          <w:rFonts w:eastAsia="Times New Roman" w:cstheme="minorHAnsi"/>
          <w:b/>
          <w:lang w:eastAsia="en-GB"/>
        </w:rPr>
        <w:t xml:space="preserve"> </w:t>
      </w:r>
      <w:r w:rsidR="00607341">
        <w:rPr>
          <w:rFonts w:eastAsia="Times New Roman" w:cstheme="minorHAnsi"/>
          <w:b/>
          <w:lang w:eastAsia="en-GB"/>
        </w:rPr>
        <w:t>5</w:t>
      </w:r>
      <w:r w:rsidR="00607341" w:rsidRPr="00607341">
        <w:rPr>
          <w:rFonts w:eastAsia="Times New Roman" w:cstheme="minorHAnsi"/>
          <w:b/>
          <w:vertAlign w:val="superscript"/>
          <w:lang w:eastAsia="en-GB"/>
        </w:rPr>
        <w:t>th</w:t>
      </w:r>
      <w:r w:rsidR="00607341">
        <w:rPr>
          <w:rFonts w:eastAsia="Times New Roman" w:cstheme="minorHAnsi"/>
          <w:b/>
          <w:lang w:eastAsia="en-GB"/>
        </w:rPr>
        <w:t xml:space="preserve"> </w:t>
      </w:r>
      <w:r w:rsidR="0041271A">
        <w:rPr>
          <w:rFonts w:eastAsia="Times New Roman" w:cstheme="minorHAnsi"/>
          <w:b/>
          <w:lang w:eastAsia="en-GB"/>
        </w:rPr>
        <w:t xml:space="preserve">December </w:t>
      </w:r>
      <w:r w:rsidR="00077C66">
        <w:rPr>
          <w:rFonts w:eastAsia="Times New Roman" w:cstheme="minorHAnsi"/>
          <w:b/>
          <w:lang w:eastAsia="en-GB"/>
        </w:rPr>
        <w:t xml:space="preserve">2022 </w:t>
      </w:r>
      <w:r w:rsidR="00BB164C">
        <w:rPr>
          <w:rFonts w:eastAsia="Times New Roman" w:cstheme="minorHAnsi"/>
          <w:b/>
          <w:lang w:eastAsia="en-GB"/>
        </w:rPr>
        <w:t>– Blended Meeting</w:t>
      </w:r>
    </w:p>
    <w:p w14:paraId="6AF84B7D" w14:textId="77777777" w:rsidR="00784298" w:rsidRDefault="00BB164C" w:rsidP="006222CF">
      <w:pPr>
        <w:rPr>
          <w:rFonts w:eastAsia="Times New Roman" w:cstheme="minorHAnsi"/>
          <w:b/>
          <w:lang w:eastAsia="en-GB"/>
        </w:rPr>
      </w:pPr>
      <w:r>
        <w:rPr>
          <w:rFonts w:eastAsia="Times New Roman" w:cstheme="minorHAnsi"/>
          <w:b/>
          <w:lang w:eastAsia="en-GB"/>
        </w:rPr>
        <w:t xml:space="preserve">Face to Face </w:t>
      </w:r>
      <w:r w:rsidR="00121630">
        <w:rPr>
          <w:rFonts w:eastAsia="Times New Roman" w:cstheme="minorHAnsi"/>
          <w:b/>
          <w:lang w:eastAsia="en-GB"/>
        </w:rPr>
        <w:t xml:space="preserve">in </w:t>
      </w:r>
      <w:r w:rsidR="003C40F8">
        <w:rPr>
          <w:rFonts w:eastAsia="Times New Roman" w:cstheme="minorHAnsi"/>
          <w:b/>
          <w:lang w:eastAsia="en-GB"/>
        </w:rPr>
        <w:t>t</w:t>
      </w:r>
      <w:r w:rsidR="00121630">
        <w:rPr>
          <w:rFonts w:eastAsia="Times New Roman" w:cstheme="minorHAnsi"/>
          <w:b/>
          <w:lang w:eastAsia="en-GB"/>
        </w:rPr>
        <w:t xml:space="preserve">he Boardroom, </w:t>
      </w:r>
      <w:r w:rsidR="00607341">
        <w:rPr>
          <w:rFonts w:eastAsia="Times New Roman" w:cstheme="minorHAnsi"/>
          <w:b/>
          <w:lang w:eastAsia="en-GB"/>
        </w:rPr>
        <w:t xml:space="preserve">Cumbernauld Campus and </w:t>
      </w:r>
      <w:r w:rsidR="000B0689">
        <w:rPr>
          <w:rFonts w:eastAsia="Times New Roman" w:cstheme="minorHAnsi"/>
          <w:b/>
          <w:lang w:eastAsia="en-GB"/>
        </w:rPr>
        <w:t xml:space="preserve">via </w:t>
      </w:r>
      <w:r w:rsidR="00607341">
        <w:rPr>
          <w:rFonts w:eastAsia="Times New Roman" w:cstheme="minorHAnsi"/>
          <w:b/>
          <w:lang w:eastAsia="en-GB"/>
        </w:rPr>
        <w:t>Zoom</w:t>
      </w:r>
    </w:p>
    <w:p w14:paraId="5274E3FC" w14:textId="77777777" w:rsidR="00DD544A" w:rsidRPr="0071262F" w:rsidRDefault="00DD544A" w:rsidP="00DD544A">
      <w:pPr>
        <w:ind w:left="567" w:hanging="567"/>
        <w:contextualSpacing/>
        <w:rPr>
          <w:rFonts w:eastAsia="Times New Roman" w:cstheme="minorHAnsi"/>
          <w:lang w:eastAsia="en-GB"/>
        </w:rPr>
      </w:pPr>
      <w:r w:rsidRPr="00206CBA">
        <w:rPr>
          <w:rFonts w:eastAsia="Times New Roman" w:cstheme="minorHAnsi"/>
          <w:b/>
          <w:lang w:eastAsia="en-GB"/>
        </w:rPr>
        <w:t>Present</w:t>
      </w:r>
      <w:r>
        <w:rPr>
          <w:rFonts w:eastAsia="Times New Roman" w:cstheme="minorHAnsi"/>
          <w:b/>
          <w:lang w:eastAsia="en-GB"/>
        </w:rPr>
        <w:t xml:space="preserve">:  Face to Face </w:t>
      </w:r>
      <w:r w:rsidRPr="0071262F">
        <w:rPr>
          <w:rFonts w:eastAsia="Times New Roman" w:cstheme="minorHAnsi"/>
          <w:lang w:eastAsia="en-GB"/>
        </w:rPr>
        <w:t>Yvonne Finlayson (Chair)</w:t>
      </w:r>
      <w:r>
        <w:rPr>
          <w:rFonts w:eastAsia="Times New Roman" w:cstheme="minorHAnsi"/>
          <w:lang w:eastAsia="en-GB"/>
        </w:rPr>
        <w:t xml:space="preserve"> and via Zoom Ryan McRobert and Alastair Rennie</w:t>
      </w:r>
    </w:p>
    <w:p w14:paraId="695B11D6" w14:textId="77777777" w:rsidR="00DD544A" w:rsidRDefault="00DD544A" w:rsidP="00DD544A">
      <w:pPr>
        <w:ind w:left="567" w:hanging="567"/>
        <w:contextualSpacing/>
        <w:rPr>
          <w:rFonts w:eastAsia="Times New Roman" w:cstheme="minorHAnsi"/>
          <w:b/>
        </w:rPr>
      </w:pPr>
    </w:p>
    <w:p w14:paraId="65C83008" w14:textId="77777777" w:rsidR="00DD544A" w:rsidRPr="0071262F" w:rsidRDefault="00DD544A" w:rsidP="00DD544A">
      <w:pPr>
        <w:contextualSpacing/>
        <w:rPr>
          <w:rFonts w:eastAsia="Times New Roman" w:cstheme="minorHAnsi"/>
        </w:rPr>
      </w:pPr>
      <w:r>
        <w:rPr>
          <w:rFonts w:eastAsia="Times New Roman" w:cstheme="minorHAnsi"/>
          <w:b/>
        </w:rPr>
        <w:t xml:space="preserve">In attendance: </w:t>
      </w:r>
      <w:r w:rsidR="004673BE">
        <w:rPr>
          <w:rFonts w:eastAsia="Times New Roman" w:cstheme="minorHAnsi"/>
          <w:b/>
        </w:rPr>
        <w:t xml:space="preserve">Face to face: </w:t>
      </w:r>
      <w:r w:rsidRPr="0071262F">
        <w:rPr>
          <w:rFonts w:eastAsia="Times New Roman" w:cstheme="minorHAnsi"/>
        </w:rPr>
        <w:t xml:space="preserve">Ann Baxter, </w:t>
      </w:r>
      <w:r>
        <w:rPr>
          <w:rFonts w:eastAsia="Times New Roman" w:cstheme="minorHAnsi"/>
        </w:rPr>
        <w:t xml:space="preserve">Iain Clark, </w:t>
      </w:r>
      <w:r w:rsidR="009702A8">
        <w:rPr>
          <w:rFonts w:eastAsia="Times New Roman" w:cstheme="minorHAnsi"/>
        </w:rPr>
        <w:t>Christopher Moore</w:t>
      </w:r>
      <w:r w:rsidR="00B27E67">
        <w:rPr>
          <w:rFonts w:eastAsia="Times New Roman" w:cstheme="minorHAnsi"/>
        </w:rPr>
        <w:t xml:space="preserve">, </w:t>
      </w:r>
      <w:r w:rsidR="004673BE">
        <w:rPr>
          <w:rFonts w:eastAsia="Times New Roman" w:cstheme="minorHAnsi"/>
        </w:rPr>
        <w:t>Diane McGill, Penny Neish,</w:t>
      </w:r>
      <w:r w:rsidR="004673BE" w:rsidRPr="004673BE">
        <w:rPr>
          <w:rFonts w:eastAsia="Times New Roman" w:cstheme="minorHAnsi"/>
        </w:rPr>
        <w:t xml:space="preserve"> </w:t>
      </w:r>
      <w:r w:rsidR="004673BE">
        <w:rPr>
          <w:rFonts w:eastAsia="Times New Roman" w:cstheme="minorHAnsi"/>
        </w:rPr>
        <w:t xml:space="preserve">Ronnie Smith, Matthew Smith and Via Zoom </w:t>
      </w:r>
      <w:r w:rsidR="009702A8">
        <w:rPr>
          <w:rFonts w:eastAsia="Times New Roman" w:cstheme="minorHAnsi"/>
        </w:rPr>
        <w:t xml:space="preserve">Suzie Graham, </w:t>
      </w:r>
      <w:r>
        <w:rPr>
          <w:rFonts w:eastAsia="Times New Roman" w:cstheme="minorHAnsi"/>
        </w:rPr>
        <w:t>Keith McAllister (Head of Finance, SLC),</w:t>
      </w:r>
      <w:r w:rsidRPr="00DD544A">
        <w:rPr>
          <w:rFonts w:eastAsia="Times New Roman" w:cstheme="minorHAnsi"/>
        </w:rPr>
        <w:t xml:space="preserve"> </w:t>
      </w:r>
      <w:r>
        <w:rPr>
          <w:rFonts w:eastAsia="Times New Roman" w:cstheme="minorHAnsi"/>
        </w:rPr>
        <w:t>Lucy Nutley (Mazars), Stephen Pringle (Wylie &amp; Bisset), Alan Sherry (Acting Principal SLC)</w:t>
      </w:r>
      <w:r w:rsidR="004673BE">
        <w:rPr>
          <w:rFonts w:eastAsia="Times New Roman" w:cstheme="minorHAnsi"/>
        </w:rPr>
        <w:t>.</w:t>
      </w:r>
      <w:r>
        <w:rPr>
          <w:rFonts w:eastAsia="Times New Roman" w:cstheme="minorHAnsi"/>
        </w:rPr>
        <w:t xml:space="preserve"> </w:t>
      </w:r>
    </w:p>
    <w:p w14:paraId="4BE79552" w14:textId="77777777" w:rsidR="000109C3" w:rsidRDefault="000109C3" w:rsidP="006222CF">
      <w:pPr>
        <w:rPr>
          <w:rFonts w:eastAsia="Times New Roman" w:cstheme="minorHAnsi"/>
          <w:b/>
          <w:lang w:eastAsia="en-GB"/>
        </w:rPr>
      </w:pPr>
    </w:p>
    <w:p w14:paraId="0E5852A5" w14:textId="77777777" w:rsidR="00D6234B" w:rsidRPr="004673BE" w:rsidRDefault="00D6234B" w:rsidP="004673BE">
      <w:pPr>
        <w:keepNext/>
        <w:numPr>
          <w:ilvl w:val="0"/>
          <w:numId w:val="8"/>
        </w:numPr>
        <w:tabs>
          <w:tab w:val="left" w:pos="-1440"/>
          <w:tab w:val="num" w:pos="284"/>
          <w:tab w:val="left" w:pos="851"/>
          <w:tab w:val="num" w:pos="993"/>
        </w:tabs>
        <w:spacing w:after="0" w:line="240" w:lineRule="auto"/>
        <w:ind w:left="0" w:firstLine="0"/>
        <w:outlineLvl w:val="1"/>
        <w:rPr>
          <w:rFonts w:eastAsia="Times New Roman" w:cstheme="minorHAnsi"/>
        </w:rPr>
      </w:pPr>
      <w:r w:rsidRPr="003E5296">
        <w:rPr>
          <w:rFonts w:eastAsia="Times New Roman" w:cstheme="minorHAnsi"/>
          <w:b/>
        </w:rPr>
        <w:t>Chair</w:t>
      </w:r>
      <w:r w:rsidR="00587507">
        <w:rPr>
          <w:rFonts w:eastAsia="Times New Roman" w:cstheme="minorHAnsi"/>
          <w:b/>
        </w:rPr>
        <w:t>’</w:t>
      </w:r>
      <w:r w:rsidRPr="003E5296">
        <w:rPr>
          <w:rFonts w:eastAsia="Times New Roman" w:cstheme="minorHAnsi"/>
          <w:b/>
        </w:rPr>
        <w:t xml:space="preserve">s </w:t>
      </w:r>
      <w:r w:rsidR="00665752">
        <w:rPr>
          <w:rFonts w:eastAsia="Times New Roman" w:cstheme="minorHAnsi"/>
          <w:b/>
        </w:rPr>
        <w:t>w</w:t>
      </w:r>
      <w:r w:rsidRPr="003E5296">
        <w:rPr>
          <w:rFonts w:eastAsia="Times New Roman" w:cstheme="minorHAnsi"/>
          <w:b/>
        </w:rPr>
        <w:t>elcome</w:t>
      </w:r>
      <w:r w:rsidR="004673BE">
        <w:rPr>
          <w:rFonts w:eastAsia="Times New Roman" w:cstheme="minorHAnsi"/>
          <w:b/>
        </w:rPr>
        <w:t xml:space="preserve">: </w:t>
      </w:r>
      <w:r w:rsidR="004673BE" w:rsidRPr="004673BE">
        <w:rPr>
          <w:rFonts w:eastAsia="Times New Roman" w:cstheme="minorHAnsi"/>
        </w:rPr>
        <w:t>Yvonne Finlayson welcomed all to the meeting.</w:t>
      </w:r>
      <w:r w:rsidR="005459BE" w:rsidRPr="004673BE">
        <w:rPr>
          <w:rFonts w:eastAsia="Times New Roman" w:cstheme="minorHAnsi"/>
        </w:rPr>
        <w:t xml:space="preserve"> </w:t>
      </w:r>
      <w:r w:rsidR="004673BE" w:rsidRPr="004673BE">
        <w:rPr>
          <w:rFonts w:eastAsia="Times New Roman" w:cstheme="minorHAnsi"/>
        </w:rPr>
        <w:t xml:space="preserve">The Board Secretary informed the meeting that it would not be quorate until Ryan McRobert and Alastair Rennie joined the meeting. Both had </w:t>
      </w:r>
      <w:r w:rsidR="00886A5F">
        <w:rPr>
          <w:rFonts w:eastAsia="Times New Roman" w:cstheme="minorHAnsi"/>
        </w:rPr>
        <w:t xml:space="preserve">notified that they would be delayed joining the meeting and both </w:t>
      </w:r>
      <w:r w:rsidR="004673BE" w:rsidRPr="004673BE">
        <w:rPr>
          <w:rFonts w:eastAsia="Times New Roman" w:cstheme="minorHAnsi"/>
        </w:rPr>
        <w:t>joined by Item 6</w:t>
      </w:r>
      <w:r w:rsidR="00786C39">
        <w:rPr>
          <w:rFonts w:eastAsia="Times New Roman" w:cstheme="minorHAnsi"/>
        </w:rPr>
        <w:t>.</w:t>
      </w:r>
      <w:r w:rsidR="004673BE" w:rsidRPr="004673BE">
        <w:rPr>
          <w:rFonts w:eastAsia="Times New Roman" w:cstheme="minorHAnsi"/>
        </w:rPr>
        <w:t xml:space="preserve"> </w:t>
      </w:r>
      <w:r w:rsidR="00786C39">
        <w:rPr>
          <w:rFonts w:eastAsia="Times New Roman" w:cstheme="minorHAnsi"/>
        </w:rPr>
        <w:t>T</w:t>
      </w:r>
      <w:r w:rsidR="004673BE" w:rsidRPr="004673BE">
        <w:rPr>
          <w:rFonts w:eastAsia="Times New Roman" w:cstheme="minorHAnsi"/>
        </w:rPr>
        <w:t xml:space="preserve">he meeting was </w:t>
      </w:r>
      <w:r w:rsidR="004673BE">
        <w:rPr>
          <w:rFonts w:eastAsia="Times New Roman" w:cstheme="minorHAnsi"/>
        </w:rPr>
        <w:t xml:space="preserve">then </w:t>
      </w:r>
      <w:r w:rsidR="004673BE" w:rsidRPr="004673BE">
        <w:rPr>
          <w:rFonts w:eastAsia="Times New Roman" w:cstheme="minorHAnsi"/>
        </w:rPr>
        <w:t xml:space="preserve">quorate. </w:t>
      </w:r>
    </w:p>
    <w:p w14:paraId="6D672DF9" w14:textId="77777777" w:rsidR="000B7792" w:rsidRDefault="000B7792" w:rsidP="000B7792">
      <w:pPr>
        <w:keepNext/>
        <w:tabs>
          <w:tab w:val="left" w:pos="-1440"/>
          <w:tab w:val="left" w:pos="851"/>
          <w:tab w:val="num" w:pos="1080"/>
        </w:tabs>
        <w:spacing w:after="0" w:line="240" w:lineRule="auto"/>
        <w:outlineLvl w:val="1"/>
        <w:rPr>
          <w:rFonts w:eastAsia="Times New Roman" w:cstheme="minorHAnsi"/>
          <w:b/>
        </w:rPr>
      </w:pPr>
    </w:p>
    <w:p w14:paraId="2A5BA5D7" w14:textId="77777777" w:rsidR="00D6234B" w:rsidRPr="003E5296" w:rsidRDefault="00D6234B" w:rsidP="004673BE">
      <w:pPr>
        <w:keepNext/>
        <w:tabs>
          <w:tab w:val="left" w:pos="-1440"/>
          <w:tab w:val="num" w:pos="284"/>
          <w:tab w:val="left" w:pos="851"/>
          <w:tab w:val="num" w:pos="993"/>
          <w:tab w:val="right" w:pos="8789"/>
        </w:tabs>
        <w:spacing w:after="0" w:line="240" w:lineRule="auto"/>
        <w:ind w:left="720" w:hanging="720"/>
        <w:outlineLvl w:val="1"/>
        <w:rPr>
          <w:rFonts w:eastAsia="Times New Roman" w:cstheme="minorHAnsi"/>
        </w:rPr>
      </w:pPr>
      <w:r w:rsidRPr="003E5296">
        <w:rPr>
          <w:rFonts w:eastAsia="Times New Roman" w:cstheme="minorHAnsi"/>
          <w:b/>
        </w:rPr>
        <w:t>2.</w:t>
      </w:r>
      <w:r w:rsidRPr="003E5296">
        <w:rPr>
          <w:rFonts w:eastAsia="Times New Roman" w:cstheme="minorHAnsi"/>
          <w:b/>
        </w:rPr>
        <w:tab/>
        <w:t>Apologies for Absence</w:t>
      </w:r>
      <w:r w:rsidR="00DD544A">
        <w:rPr>
          <w:rFonts w:eastAsia="Times New Roman" w:cstheme="minorHAnsi"/>
          <w:b/>
        </w:rPr>
        <w:t xml:space="preserve">: </w:t>
      </w:r>
      <w:r w:rsidR="00DD544A" w:rsidRPr="00DD544A">
        <w:rPr>
          <w:rFonts w:eastAsia="Times New Roman" w:cstheme="minorHAnsi"/>
        </w:rPr>
        <w:t xml:space="preserve">There were apologies from John Elliott </w:t>
      </w:r>
      <w:r w:rsidR="00DD544A">
        <w:rPr>
          <w:rFonts w:eastAsia="Times New Roman" w:cstheme="minorHAnsi"/>
        </w:rPr>
        <w:t>and Craig McLaughlin (Chair SLC ARC).</w:t>
      </w:r>
    </w:p>
    <w:p w14:paraId="18F5F0AA" w14:textId="77777777" w:rsidR="00302029" w:rsidRPr="003E5296" w:rsidRDefault="00302029" w:rsidP="00D6234B">
      <w:pPr>
        <w:keepNext/>
        <w:tabs>
          <w:tab w:val="left" w:pos="-1440"/>
          <w:tab w:val="num" w:pos="567"/>
          <w:tab w:val="left" w:pos="851"/>
          <w:tab w:val="right" w:pos="8789"/>
        </w:tabs>
        <w:spacing w:after="0" w:line="240" w:lineRule="auto"/>
        <w:jc w:val="both"/>
        <w:outlineLvl w:val="1"/>
        <w:rPr>
          <w:rFonts w:eastAsia="Times New Roman" w:cstheme="minorHAnsi"/>
          <w:b/>
        </w:rPr>
      </w:pPr>
    </w:p>
    <w:p w14:paraId="2E1E6F25" w14:textId="77777777" w:rsidR="00D6234B" w:rsidRDefault="00D6234B" w:rsidP="004673BE">
      <w:pPr>
        <w:keepNext/>
        <w:tabs>
          <w:tab w:val="left" w:pos="-1440"/>
          <w:tab w:val="num" w:pos="284"/>
          <w:tab w:val="left" w:pos="851"/>
          <w:tab w:val="right" w:pos="8789"/>
        </w:tabs>
        <w:spacing w:after="0" w:line="240" w:lineRule="auto"/>
        <w:jc w:val="both"/>
        <w:outlineLvl w:val="1"/>
        <w:rPr>
          <w:rFonts w:eastAsia="Times New Roman" w:cstheme="minorHAnsi"/>
          <w:b/>
        </w:rPr>
      </w:pPr>
      <w:r w:rsidRPr="003E5296">
        <w:rPr>
          <w:rFonts w:eastAsia="Times New Roman" w:cstheme="minorHAnsi"/>
          <w:b/>
        </w:rPr>
        <w:t>3.</w:t>
      </w:r>
      <w:r w:rsidRPr="003E5296">
        <w:rPr>
          <w:rFonts w:eastAsia="Times New Roman" w:cstheme="minorHAnsi"/>
          <w:b/>
        </w:rPr>
        <w:tab/>
        <w:t>Declarations of Interest</w:t>
      </w:r>
      <w:r w:rsidR="00886A5F">
        <w:rPr>
          <w:rFonts w:eastAsia="Times New Roman" w:cstheme="minorHAnsi"/>
          <w:b/>
        </w:rPr>
        <w:t xml:space="preserve">: </w:t>
      </w:r>
      <w:r w:rsidR="00886A5F" w:rsidRPr="00886A5F">
        <w:rPr>
          <w:rFonts w:eastAsia="Times New Roman" w:cstheme="minorHAnsi"/>
        </w:rPr>
        <w:t xml:space="preserve">There were no </w:t>
      </w:r>
      <w:r w:rsidR="00886A5F">
        <w:rPr>
          <w:rFonts w:eastAsia="Times New Roman" w:cstheme="minorHAnsi"/>
        </w:rPr>
        <w:t>D</w:t>
      </w:r>
      <w:r w:rsidR="00886A5F" w:rsidRPr="00886A5F">
        <w:rPr>
          <w:rFonts w:eastAsia="Times New Roman" w:cstheme="minorHAnsi"/>
        </w:rPr>
        <w:t>eclarations of Interest.</w:t>
      </w:r>
    </w:p>
    <w:p w14:paraId="609A998F" w14:textId="77777777" w:rsidR="003F3F29" w:rsidRDefault="003F3F29" w:rsidP="00D6234B">
      <w:pPr>
        <w:keepNext/>
        <w:tabs>
          <w:tab w:val="left" w:pos="-1440"/>
          <w:tab w:val="num" w:pos="567"/>
          <w:tab w:val="left" w:pos="851"/>
          <w:tab w:val="right" w:pos="8789"/>
        </w:tabs>
        <w:spacing w:after="0" w:line="240" w:lineRule="auto"/>
        <w:jc w:val="both"/>
        <w:outlineLvl w:val="1"/>
        <w:rPr>
          <w:rFonts w:eastAsia="Times New Roman" w:cstheme="minorHAnsi"/>
          <w:b/>
        </w:rPr>
      </w:pPr>
    </w:p>
    <w:p w14:paraId="2601E8DB" w14:textId="77777777" w:rsidR="003F3F29" w:rsidRPr="00BB57D2" w:rsidRDefault="003F3F29" w:rsidP="004673BE">
      <w:pPr>
        <w:tabs>
          <w:tab w:val="left" w:pos="284"/>
          <w:tab w:val="left" w:pos="851"/>
        </w:tabs>
        <w:spacing w:after="0" w:line="240" w:lineRule="auto"/>
        <w:rPr>
          <w:rFonts w:eastAsia="Times New Roman" w:cstheme="minorHAnsi"/>
          <w:b/>
        </w:rPr>
      </w:pPr>
      <w:r>
        <w:rPr>
          <w:rFonts w:eastAsia="Times New Roman" w:cstheme="minorHAnsi"/>
          <w:b/>
        </w:rPr>
        <w:t>4</w:t>
      </w:r>
      <w:r w:rsidRPr="003E5296">
        <w:rPr>
          <w:rFonts w:eastAsia="Times New Roman" w:cstheme="minorHAnsi"/>
          <w:b/>
        </w:rPr>
        <w:t xml:space="preserve">. </w:t>
      </w:r>
      <w:r w:rsidRPr="003E5296">
        <w:rPr>
          <w:rFonts w:eastAsia="Times New Roman" w:cstheme="minorHAnsi"/>
          <w:b/>
        </w:rPr>
        <w:tab/>
      </w:r>
      <w:r>
        <w:rPr>
          <w:rFonts w:eastAsia="Times New Roman" w:cstheme="minorHAnsi"/>
          <w:b/>
        </w:rPr>
        <w:t>Minute of meeting</w:t>
      </w:r>
      <w:r w:rsidR="00607341">
        <w:rPr>
          <w:rFonts w:eastAsia="Times New Roman" w:cstheme="minorHAnsi"/>
          <w:b/>
        </w:rPr>
        <w:t xml:space="preserve"> </w:t>
      </w:r>
      <w:r w:rsidR="00BB164C">
        <w:rPr>
          <w:rFonts w:eastAsia="Times New Roman" w:cstheme="minorHAnsi"/>
          <w:b/>
        </w:rPr>
        <w:t>5</w:t>
      </w:r>
      <w:r w:rsidR="00BB164C" w:rsidRPr="00BB164C">
        <w:rPr>
          <w:rFonts w:eastAsia="Times New Roman" w:cstheme="minorHAnsi"/>
          <w:b/>
          <w:vertAlign w:val="superscript"/>
        </w:rPr>
        <w:t>th</w:t>
      </w:r>
      <w:r w:rsidR="00BB164C">
        <w:rPr>
          <w:rFonts w:eastAsia="Times New Roman" w:cstheme="minorHAnsi"/>
          <w:b/>
        </w:rPr>
        <w:t xml:space="preserve"> September </w:t>
      </w:r>
      <w:r w:rsidR="00607341">
        <w:rPr>
          <w:rFonts w:eastAsia="Times New Roman" w:cstheme="minorHAnsi"/>
          <w:b/>
        </w:rPr>
        <w:t>2022</w:t>
      </w:r>
      <w:r w:rsidR="00886A5F">
        <w:rPr>
          <w:rFonts w:eastAsia="Times New Roman" w:cstheme="minorHAnsi"/>
          <w:b/>
        </w:rPr>
        <w:t xml:space="preserve">: </w:t>
      </w:r>
      <w:r w:rsidR="00886A5F" w:rsidRPr="00886A5F">
        <w:rPr>
          <w:rFonts w:eastAsia="Times New Roman" w:cstheme="minorHAnsi"/>
        </w:rPr>
        <w:t>The minute of the meeting was approved.</w:t>
      </w:r>
      <w:r w:rsidRPr="00886A5F">
        <w:rPr>
          <w:rFonts w:eastAsia="Times New Roman" w:cstheme="minorHAnsi"/>
        </w:rPr>
        <w:tab/>
      </w:r>
      <w:r>
        <w:rPr>
          <w:rFonts w:eastAsia="Times New Roman" w:cstheme="minorHAnsi"/>
          <w:b/>
        </w:rPr>
        <w:tab/>
      </w:r>
      <w:r w:rsidR="00077C66">
        <w:rPr>
          <w:rFonts w:eastAsia="Times New Roman" w:cstheme="minorHAnsi"/>
          <w:b/>
        </w:rPr>
        <w:tab/>
      </w:r>
      <w:r w:rsidR="00077C66">
        <w:rPr>
          <w:rFonts w:eastAsia="Times New Roman" w:cstheme="minorHAnsi"/>
          <w:b/>
        </w:rPr>
        <w:tab/>
      </w:r>
    </w:p>
    <w:p w14:paraId="324ECE3C" w14:textId="77777777" w:rsidR="003F3F29" w:rsidRDefault="003F3F29" w:rsidP="004673BE">
      <w:pPr>
        <w:tabs>
          <w:tab w:val="left" w:pos="284"/>
          <w:tab w:val="left" w:pos="851"/>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5</w:t>
      </w:r>
      <w:r w:rsidRPr="003E5296">
        <w:rPr>
          <w:rFonts w:eastAsia="Times New Roman" w:cstheme="minorHAnsi"/>
          <w:b/>
        </w:rPr>
        <w:t xml:space="preserve">. </w:t>
      </w:r>
      <w:r w:rsidRPr="003E5296">
        <w:rPr>
          <w:rFonts w:eastAsia="Times New Roman" w:cstheme="minorHAnsi"/>
          <w:b/>
        </w:rPr>
        <w:tab/>
        <w:t>Matters Arising</w:t>
      </w:r>
      <w:r>
        <w:rPr>
          <w:rFonts w:eastAsia="Times New Roman" w:cstheme="minorHAnsi"/>
          <w:b/>
        </w:rPr>
        <w:t xml:space="preserve"> from Minutes</w:t>
      </w:r>
    </w:p>
    <w:p w14:paraId="144AA1E0" w14:textId="77777777" w:rsidR="00786C39" w:rsidRDefault="00786C39" w:rsidP="004673BE">
      <w:pPr>
        <w:tabs>
          <w:tab w:val="left" w:pos="284"/>
          <w:tab w:val="left" w:pos="851"/>
          <w:tab w:val="num" w:pos="1134"/>
          <w:tab w:val="left" w:pos="7230"/>
          <w:tab w:val="left" w:pos="7938"/>
          <w:tab w:val="right" w:pos="8789"/>
        </w:tabs>
        <w:spacing w:after="0" w:line="240" w:lineRule="auto"/>
        <w:jc w:val="both"/>
        <w:rPr>
          <w:rFonts w:eastAsia="Times New Roman" w:cstheme="minorHAnsi"/>
          <w:b/>
        </w:rPr>
      </w:pPr>
    </w:p>
    <w:p w14:paraId="0E30CC32" w14:textId="0D50BD70" w:rsidR="00786C39" w:rsidRDefault="00786C39" w:rsidP="004673BE">
      <w:p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 xml:space="preserve">5.1 </w:t>
      </w:r>
      <w:r w:rsidRPr="00786C39">
        <w:rPr>
          <w:rFonts w:eastAsia="Times New Roman" w:cstheme="minorHAnsi"/>
        </w:rPr>
        <w:t>The Lanarkshire Board approved the schedule of meetings for 2023 at the meeting on the 3</w:t>
      </w:r>
      <w:r w:rsidRPr="00786C39">
        <w:rPr>
          <w:rFonts w:eastAsia="Times New Roman" w:cstheme="minorHAnsi"/>
          <w:vertAlign w:val="superscript"/>
        </w:rPr>
        <w:t>rd</w:t>
      </w:r>
      <w:r w:rsidRPr="00786C39">
        <w:rPr>
          <w:rFonts w:eastAsia="Times New Roman" w:cstheme="minorHAnsi"/>
        </w:rPr>
        <w:t xml:space="preserve"> October 202</w:t>
      </w:r>
      <w:r w:rsidR="00101009">
        <w:rPr>
          <w:rFonts w:eastAsia="Times New Roman" w:cstheme="minorHAnsi"/>
        </w:rPr>
        <w:t>2</w:t>
      </w:r>
      <w:r w:rsidRPr="00786C39">
        <w:rPr>
          <w:rFonts w:eastAsia="Times New Roman" w:cstheme="minorHAnsi"/>
        </w:rPr>
        <w:t>. These dates have been copied to the SLC Board Secretary and he has now sent dates for SLC meetings to the Board Secretary of the Lanarkshire Board.</w:t>
      </w:r>
    </w:p>
    <w:p w14:paraId="01164806" w14:textId="77777777" w:rsidR="00786C39" w:rsidRDefault="00786C39" w:rsidP="004673BE">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14:paraId="4ED5C7F3" w14:textId="77777777" w:rsidR="00EF4FBC" w:rsidRDefault="00786C39" w:rsidP="00EF4FBC">
      <w:r w:rsidRPr="00786C39">
        <w:rPr>
          <w:rFonts w:eastAsia="Times New Roman" w:cstheme="minorHAnsi"/>
          <w:b/>
        </w:rPr>
        <w:t>5.2</w:t>
      </w:r>
      <w:r>
        <w:rPr>
          <w:rFonts w:eastAsia="Times New Roman" w:cstheme="minorHAnsi"/>
        </w:rPr>
        <w:t xml:space="preserve"> </w:t>
      </w:r>
      <w:r w:rsidR="00EF4FBC">
        <w:rPr>
          <w:rFonts w:eastAsia="Times New Roman" w:cstheme="minorHAnsi"/>
        </w:rPr>
        <w:t>At the meeting of the Lanarkshire Board on the 3</w:t>
      </w:r>
      <w:r w:rsidR="00EF4FBC" w:rsidRPr="00EF4FBC">
        <w:rPr>
          <w:rFonts w:eastAsia="Times New Roman" w:cstheme="minorHAnsi"/>
          <w:vertAlign w:val="superscript"/>
        </w:rPr>
        <w:t>rd</w:t>
      </w:r>
      <w:r w:rsidR="00EF4FBC">
        <w:rPr>
          <w:rFonts w:eastAsia="Times New Roman" w:cstheme="minorHAnsi"/>
        </w:rPr>
        <w:t xml:space="preserve"> October 2022, Ronnie Smith had requested </w:t>
      </w:r>
      <w:r w:rsidR="00EF4FBC">
        <w:t>reconfirmation from the Board that it was content for the SLC GIP to be signed off as it referred to past events and SLC had a forward plan to look at continuous improvement as the next stage in its governance development.  The Board agreed to this proposal and to receive reports on SLC’s progress. The Lanarkshire ARC noted the Board’s approval of this action.</w:t>
      </w:r>
    </w:p>
    <w:p w14:paraId="7A6490D6" w14:textId="6B99A5D6" w:rsidR="000C6C9F" w:rsidRDefault="000C6C9F" w:rsidP="00EF4FBC">
      <w:r w:rsidRPr="000C6C9F">
        <w:rPr>
          <w:b/>
        </w:rPr>
        <w:t>5.3</w:t>
      </w:r>
      <w:r>
        <w:t xml:space="preserve"> The Board Secretary informed the committee that both Board Secretaries have agreed to look at the possibility of a joint training session in January 202</w:t>
      </w:r>
      <w:r w:rsidR="00101009">
        <w:t>3</w:t>
      </w:r>
      <w:r>
        <w:t xml:space="preserve"> which will include a session on regional legislation and at other joint training in the future.</w:t>
      </w:r>
    </w:p>
    <w:p w14:paraId="7F156C0E" w14:textId="77777777" w:rsidR="00EF4FBC" w:rsidRDefault="00EF4FBC" w:rsidP="00EF4FBC">
      <w:r w:rsidRPr="00EF4FBC">
        <w:rPr>
          <w:rFonts w:eastAsia="Times New Roman" w:cstheme="minorHAnsi"/>
          <w:b/>
        </w:rPr>
        <w:t>5.</w:t>
      </w:r>
      <w:r w:rsidR="000C6C9F">
        <w:rPr>
          <w:rFonts w:eastAsia="Times New Roman" w:cstheme="minorHAnsi"/>
          <w:b/>
        </w:rPr>
        <w:t>4</w:t>
      </w:r>
      <w:r>
        <w:rPr>
          <w:rFonts w:eastAsia="Times New Roman" w:cstheme="minorHAnsi"/>
        </w:rPr>
        <w:t xml:space="preserve"> Yvonne Finlayson noted that a response had been made to the letter from Craig McLoughlan and thanked Ronnie Smith for his help</w:t>
      </w:r>
      <w:r w:rsidR="008F58F4">
        <w:rPr>
          <w:rFonts w:eastAsia="Times New Roman" w:cstheme="minorHAnsi"/>
        </w:rPr>
        <w:t xml:space="preserve"> with the response</w:t>
      </w:r>
      <w:r>
        <w:t xml:space="preserve">.  </w:t>
      </w:r>
    </w:p>
    <w:p w14:paraId="73DF6146" w14:textId="77777777" w:rsidR="000C6C9F" w:rsidRDefault="003F3F29" w:rsidP="004673BE">
      <w:pPr>
        <w:tabs>
          <w:tab w:val="left" w:pos="851"/>
          <w:tab w:val="num" w:pos="1134"/>
          <w:tab w:val="left" w:pos="7230"/>
          <w:tab w:val="left" w:pos="7938"/>
          <w:tab w:val="right" w:pos="8789"/>
        </w:tabs>
        <w:spacing w:after="0" w:line="240" w:lineRule="auto"/>
        <w:ind w:left="284" w:hanging="284"/>
        <w:contextualSpacing/>
        <w:jc w:val="both"/>
        <w:rPr>
          <w:rFonts w:eastAsia="Times New Roman" w:cstheme="minorHAnsi"/>
          <w:b/>
        </w:rPr>
      </w:pPr>
      <w:r>
        <w:rPr>
          <w:rFonts w:eastAsia="Times New Roman" w:cstheme="minorHAnsi"/>
          <w:b/>
        </w:rPr>
        <w:t xml:space="preserve">6. </w:t>
      </w:r>
      <w:r>
        <w:rPr>
          <w:rFonts w:eastAsia="Times New Roman" w:cstheme="minorHAnsi"/>
          <w:b/>
        </w:rPr>
        <w:tab/>
        <w:t>SLC ARC Update</w:t>
      </w:r>
    </w:p>
    <w:p w14:paraId="5BA3B4F0" w14:textId="77777777" w:rsidR="000C6C9F" w:rsidRDefault="000C6C9F" w:rsidP="004673BE">
      <w:pPr>
        <w:tabs>
          <w:tab w:val="left" w:pos="851"/>
          <w:tab w:val="num" w:pos="1134"/>
          <w:tab w:val="left" w:pos="7230"/>
          <w:tab w:val="left" w:pos="7938"/>
          <w:tab w:val="right" w:pos="8789"/>
        </w:tabs>
        <w:spacing w:after="0" w:line="240" w:lineRule="auto"/>
        <w:ind w:left="284" w:hanging="284"/>
        <w:contextualSpacing/>
        <w:jc w:val="both"/>
        <w:rPr>
          <w:rFonts w:eastAsia="Times New Roman" w:cstheme="minorHAnsi"/>
          <w:b/>
        </w:rPr>
      </w:pPr>
    </w:p>
    <w:p w14:paraId="3261346E" w14:textId="77777777" w:rsidR="00554E6B" w:rsidRPr="00E361EB" w:rsidRDefault="000C6C9F" w:rsidP="00E361EB">
      <w:pPr>
        <w:tabs>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6.1 </w:t>
      </w:r>
      <w:r w:rsidRPr="000C6C9F">
        <w:rPr>
          <w:rFonts w:eastAsia="Times New Roman" w:cstheme="minorHAnsi"/>
        </w:rPr>
        <w:t xml:space="preserve">Keith McAllister and Alan </w:t>
      </w:r>
      <w:r w:rsidRPr="00834508">
        <w:rPr>
          <w:rFonts w:eastAsia="Times New Roman" w:cstheme="minorHAnsi"/>
        </w:rPr>
        <w:t xml:space="preserve">Sherry informed the Lanarkshire ARC that </w:t>
      </w:r>
      <w:r w:rsidR="00E361EB">
        <w:rPr>
          <w:rFonts w:eastAsia="Times New Roman" w:cstheme="minorHAnsi"/>
        </w:rPr>
        <w:t xml:space="preserve">the SLC accounts are finalised apart from the Governance </w:t>
      </w:r>
      <w:r w:rsidR="00DF70B3">
        <w:rPr>
          <w:rFonts w:eastAsia="Times New Roman" w:cstheme="minorHAnsi"/>
        </w:rPr>
        <w:t>S</w:t>
      </w:r>
      <w:r w:rsidR="00E361EB">
        <w:rPr>
          <w:rFonts w:eastAsia="Times New Roman" w:cstheme="minorHAnsi"/>
        </w:rPr>
        <w:t>tatement. T</w:t>
      </w:r>
      <w:r w:rsidRPr="00834508">
        <w:rPr>
          <w:rFonts w:eastAsia="Times New Roman" w:cstheme="minorHAnsi"/>
        </w:rPr>
        <w:t xml:space="preserve">here </w:t>
      </w:r>
      <w:r w:rsidR="00E361EB">
        <w:rPr>
          <w:rFonts w:eastAsia="Times New Roman" w:cstheme="minorHAnsi"/>
        </w:rPr>
        <w:t xml:space="preserve">is </w:t>
      </w:r>
      <w:r w:rsidRPr="00834508">
        <w:rPr>
          <w:rFonts w:eastAsia="Times New Roman" w:cstheme="minorHAnsi"/>
        </w:rPr>
        <w:t>still ongoing</w:t>
      </w:r>
      <w:r>
        <w:rPr>
          <w:rFonts w:eastAsia="Times New Roman" w:cstheme="minorHAnsi"/>
          <w:b/>
        </w:rPr>
        <w:t xml:space="preserve"> </w:t>
      </w:r>
      <w:r w:rsidR="00E361EB" w:rsidRPr="00E361EB">
        <w:rPr>
          <w:rFonts w:eastAsia="Times New Roman" w:cstheme="minorHAnsi"/>
        </w:rPr>
        <w:t xml:space="preserve">discussion between the SLC ARC Chair </w:t>
      </w:r>
      <w:r w:rsidR="00834508" w:rsidRPr="00E361EB">
        <w:rPr>
          <w:rFonts w:eastAsia="Times New Roman" w:cstheme="minorHAnsi"/>
        </w:rPr>
        <w:t xml:space="preserve">with Mazars </w:t>
      </w:r>
      <w:r w:rsidR="00E361EB" w:rsidRPr="00E361EB">
        <w:rPr>
          <w:rFonts w:eastAsia="Times New Roman" w:cstheme="minorHAnsi"/>
        </w:rPr>
        <w:t xml:space="preserve">about the </w:t>
      </w:r>
      <w:r w:rsidR="00DF70B3">
        <w:rPr>
          <w:rFonts w:eastAsia="Times New Roman" w:cstheme="minorHAnsi"/>
        </w:rPr>
        <w:t>G</w:t>
      </w:r>
      <w:r w:rsidR="00E361EB" w:rsidRPr="00E361EB">
        <w:rPr>
          <w:rFonts w:eastAsia="Times New Roman" w:cstheme="minorHAnsi"/>
        </w:rPr>
        <w:t xml:space="preserve">overnance </w:t>
      </w:r>
      <w:r w:rsidR="00DF70B3">
        <w:rPr>
          <w:rFonts w:eastAsia="Times New Roman" w:cstheme="minorHAnsi"/>
        </w:rPr>
        <w:t>S</w:t>
      </w:r>
      <w:r w:rsidR="00E361EB" w:rsidRPr="00E361EB">
        <w:rPr>
          <w:rFonts w:eastAsia="Times New Roman" w:cstheme="minorHAnsi"/>
        </w:rPr>
        <w:t>tatement</w:t>
      </w:r>
      <w:r w:rsidR="00E361EB">
        <w:rPr>
          <w:rFonts w:eastAsia="Times New Roman" w:cstheme="minorHAnsi"/>
        </w:rPr>
        <w:t xml:space="preserve">. Alan Sherry informed the committee that it may not be possible to finalise </w:t>
      </w:r>
      <w:r w:rsidR="00E361EB">
        <w:rPr>
          <w:rFonts w:eastAsia="Times New Roman" w:cstheme="minorHAnsi"/>
        </w:rPr>
        <w:lastRenderedPageBreak/>
        <w:t xml:space="preserve">the </w:t>
      </w:r>
      <w:r w:rsidR="00DF70B3">
        <w:rPr>
          <w:rFonts w:eastAsia="Times New Roman" w:cstheme="minorHAnsi"/>
        </w:rPr>
        <w:t>S</w:t>
      </w:r>
      <w:r w:rsidR="00E361EB">
        <w:rPr>
          <w:rFonts w:eastAsia="Times New Roman" w:cstheme="minorHAnsi"/>
        </w:rPr>
        <w:t>tatement following the SLC Board meetings scheduled for the 6</w:t>
      </w:r>
      <w:r w:rsidR="00E361EB" w:rsidRPr="00E361EB">
        <w:rPr>
          <w:rFonts w:eastAsia="Times New Roman" w:cstheme="minorHAnsi"/>
          <w:vertAlign w:val="superscript"/>
        </w:rPr>
        <w:t>th</w:t>
      </w:r>
      <w:r w:rsidR="00E361EB">
        <w:rPr>
          <w:rFonts w:eastAsia="Times New Roman" w:cstheme="minorHAnsi"/>
        </w:rPr>
        <w:t xml:space="preserve"> and 8</w:t>
      </w:r>
      <w:r w:rsidR="00E361EB" w:rsidRPr="00E361EB">
        <w:rPr>
          <w:rFonts w:eastAsia="Times New Roman" w:cstheme="minorHAnsi"/>
          <w:vertAlign w:val="superscript"/>
        </w:rPr>
        <w:t>th</w:t>
      </w:r>
      <w:r w:rsidR="00E361EB">
        <w:rPr>
          <w:rFonts w:eastAsia="Times New Roman" w:cstheme="minorHAnsi"/>
        </w:rPr>
        <w:t xml:space="preserve"> December 2022 and there may be further delay pending consideration of the investigations reported to the SLC Board.</w:t>
      </w:r>
    </w:p>
    <w:p w14:paraId="56252040" w14:textId="77777777" w:rsidR="003F23A7" w:rsidRDefault="003F23A7" w:rsidP="00827FC5">
      <w:pPr>
        <w:tabs>
          <w:tab w:val="left" w:pos="567"/>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p>
    <w:p w14:paraId="69530B3E" w14:textId="16483DDF" w:rsidR="00411878" w:rsidRDefault="00554E6B" w:rsidP="00411878">
      <w:pPr>
        <w:tabs>
          <w:tab w:val="left" w:pos="0"/>
          <w:tab w:val="left" w:pos="851"/>
          <w:tab w:val="num" w:pos="1134"/>
          <w:tab w:val="left" w:pos="7230"/>
          <w:tab w:val="left" w:pos="7938"/>
          <w:tab w:val="right" w:pos="8789"/>
        </w:tabs>
        <w:spacing w:after="0" w:line="240" w:lineRule="auto"/>
        <w:contextualSpacing/>
        <w:jc w:val="both"/>
      </w:pPr>
      <w:r>
        <w:rPr>
          <w:rFonts w:eastAsia="Times New Roman" w:cstheme="minorHAnsi"/>
          <w:b/>
        </w:rPr>
        <w:t>7.</w:t>
      </w:r>
      <w:r w:rsidR="004673BE">
        <w:rPr>
          <w:rFonts w:eastAsia="Times New Roman" w:cstheme="minorHAnsi"/>
          <w:b/>
        </w:rPr>
        <w:t xml:space="preserve">   </w:t>
      </w:r>
      <w:r>
        <w:rPr>
          <w:rFonts w:eastAsia="Times New Roman" w:cstheme="minorHAnsi"/>
          <w:b/>
        </w:rPr>
        <w:t>SLC Governance</w:t>
      </w:r>
      <w:r w:rsidR="00BB164C">
        <w:rPr>
          <w:rFonts w:eastAsia="Times New Roman" w:cstheme="minorHAnsi"/>
          <w:b/>
        </w:rPr>
        <w:t xml:space="preserve"> Assurance Framework Update</w:t>
      </w:r>
      <w:r w:rsidR="00E361EB">
        <w:rPr>
          <w:rFonts w:eastAsia="Times New Roman" w:cstheme="minorHAnsi"/>
          <w:b/>
        </w:rPr>
        <w:t>:</w:t>
      </w:r>
      <w:r w:rsidR="00411878">
        <w:rPr>
          <w:rFonts w:eastAsia="Times New Roman" w:cstheme="minorHAnsi"/>
          <w:b/>
        </w:rPr>
        <w:t xml:space="preserve"> </w:t>
      </w:r>
      <w:r w:rsidR="00411878" w:rsidRPr="00411878">
        <w:rPr>
          <w:rFonts w:eastAsia="Times New Roman" w:cstheme="minorHAnsi"/>
        </w:rPr>
        <w:t>As noted at 5.2 above the SLC GIP has been signed off and</w:t>
      </w:r>
      <w:r w:rsidR="00411878">
        <w:rPr>
          <w:rFonts w:eastAsia="Times New Roman" w:cstheme="minorHAnsi"/>
          <w:b/>
        </w:rPr>
        <w:t xml:space="preserve"> </w:t>
      </w:r>
      <w:r w:rsidR="00411878">
        <w:t xml:space="preserve">SLC has a forward plan to look at continuous improvement as the next stage in its governance development. This will be taken forward in conjunction with the internal auditors Henderson Loggie. Keith McAllister noted the time pressure that synchronising SLC and Lanarkshire Board meetings could have in producing financial </w:t>
      </w:r>
      <w:r w:rsidR="00101009">
        <w:t xml:space="preserve">reports </w:t>
      </w:r>
      <w:r w:rsidR="00411878">
        <w:t xml:space="preserve">for SLC meetings that would </w:t>
      </w:r>
      <w:r w:rsidR="00101009">
        <w:t xml:space="preserve">then </w:t>
      </w:r>
      <w:r w:rsidR="00411878">
        <w:t>be earlier in the SLC Board cycle</w:t>
      </w:r>
      <w:r w:rsidR="00101009">
        <w:t xml:space="preserve"> and also for the RSB</w:t>
      </w:r>
      <w:r w:rsidR="00411878">
        <w:t xml:space="preserve">. </w:t>
      </w:r>
    </w:p>
    <w:p w14:paraId="31E33B1E" w14:textId="77777777" w:rsidR="00411878" w:rsidRDefault="00411878" w:rsidP="00411878">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14:paraId="755FAF75" w14:textId="77777777" w:rsidR="00BB164C" w:rsidRDefault="00BB164C" w:rsidP="00827FC5">
      <w:pPr>
        <w:tabs>
          <w:tab w:val="left" w:pos="567"/>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r>
        <w:rPr>
          <w:rFonts w:eastAsia="Times New Roman" w:cstheme="minorHAnsi"/>
          <w:b/>
        </w:rPr>
        <w:t>8.</w:t>
      </w:r>
      <w:r w:rsidR="004673BE">
        <w:rPr>
          <w:rFonts w:eastAsia="Times New Roman" w:cstheme="minorHAnsi"/>
          <w:b/>
        </w:rPr>
        <w:t xml:space="preserve">   </w:t>
      </w:r>
      <w:r>
        <w:rPr>
          <w:rFonts w:eastAsia="Times New Roman" w:cstheme="minorHAnsi"/>
          <w:b/>
        </w:rPr>
        <w:t>SLC 2021/22 Audit and Financial Statements Update</w:t>
      </w:r>
      <w:r w:rsidR="00411878">
        <w:rPr>
          <w:rFonts w:eastAsia="Times New Roman" w:cstheme="minorHAnsi"/>
          <w:b/>
        </w:rPr>
        <w:t xml:space="preserve">: </w:t>
      </w:r>
      <w:r w:rsidR="00411878" w:rsidRPr="00411878">
        <w:rPr>
          <w:rFonts w:eastAsia="Times New Roman" w:cstheme="minorHAnsi"/>
        </w:rPr>
        <w:t>This was discussed at Item 6.1 above.</w:t>
      </w:r>
      <w:r w:rsidRPr="00411878">
        <w:rPr>
          <w:rFonts w:eastAsia="Times New Roman" w:cstheme="minorHAnsi"/>
        </w:rPr>
        <w:tab/>
      </w:r>
    </w:p>
    <w:p w14:paraId="72DB193B" w14:textId="77777777" w:rsidR="003F3F29" w:rsidRDefault="003F3F29" w:rsidP="00827FC5">
      <w:pPr>
        <w:tabs>
          <w:tab w:val="left" w:pos="567"/>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p>
    <w:p w14:paraId="5A63E4D8" w14:textId="77777777" w:rsidR="00323D23" w:rsidRDefault="001F3D14" w:rsidP="003F3F29">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9</w:t>
      </w:r>
      <w:r w:rsidR="003F3F29">
        <w:rPr>
          <w:rFonts w:eastAsia="Times New Roman" w:cstheme="minorHAnsi"/>
          <w:b/>
        </w:rPr>
        <w:t xml:space="preserve">. </w:t>
      </w:r>
      <w:r w:rsidR="004673BE">
        <w:rPr>
          <w:rFonts w:eastAsia="Times New Roman" w:cstheme="minorHAnsi"/>
          <w:b/>
        </w:rPr>
        <w:t xml:space="preserve">  </w:t>
      </w:r>
      <w:r w:rsidR="003F3F29">
        <w:rPr>
          <w:rFonts w:eastAsia="Times New Roman" w:cstheme="minorHAnsi"/>
          <w:b/>
        </w:rPr>
        <w:t xml:space="preserve">Technical Bulletin Audit Scotland </w:t>
      </w:r>
      <w:r w:rsidR="00BB164C">
        <w:rPr>
          <w:rFonts w:eastAsia="Times New Roman" w:cstheme="minorHAnsi"/>
          <w:b/>
        </w:rPr>
        <w:t>July 2022</w:t>
      </w:r>
      <w:r w:rsidR="00607341">
        <w:rPr>
          <w:rFonts w:eastAsia="Times New Roman" w:cstheme="minorHAnsi"/>
          <w:b/>
        </w:rPr>
        <w:t>–</w:t>
      </w:r>
      <w:r w:rsidR="00BB164C">
        <w:rPr>
          <w:rFonts w:eastAsia="Times New Roman" w:cstheme="minorHAnsi"/>
          <w:b/>
        </w:rPr>
        <w:t xml:space="preserve">September </w:t>
      </w:r>
      <w:r w:rsidR="003F3F29">
        <w:rPr>
          <w:rFonts w:eastAsia="Times New Roman" w:cstheme="minorHAnsi"/>
          <w:b/>
        </w:rPr>
        <w:t>202</w:t>
      </w:r>
      <w:r w:rsidR="00E403F5">
        <w:rPr>
          <w:rFonts w:eastAsia="Times New Roman" w:cstheme="minorHAnsi"/>
          <w:b/>
        </w:rPr>
        <w:t>2</w:t>
      </w:r>
    </w:p>
    <w:p w14:paraId="454F0869" w14:textId="77777777" w:rsidR="00323D23" w:rsidRDefault="00323D23" w:rsidP="003F3F29">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04028B1A" w14:textId="77777777" w:rsidR="003F3F29" w:rsidRDefault="00323D23" w:rsidP="003F3F29">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rPr>
      </w:pPr>
      <w:r>
        <w:rPr>
          <w:rFonts w:eastAsia="Times New Roman" w:cstheme="minorHAnsi"/>
          <w:b/>
        </w:rPr>
        <w:t xml:space="preserve">9.1 </w:t>
      </w:r>
      <w:r w:rsidRPr="00323D23">
        <w:rPr>
          <w:rFonts w:eastAsia="Times New Roman" w:cstheme="minorHAnsi"/>
        </w:rPr>
        <w:t xml:space="preserve">Iain Clark </w:t>
      </w:r>
      <w:r>
        <w:rPr>
          <w:rFonts w:eastAsia="Times New Roman" w:cstheme="minorHAnsi"/>
        </w:rPr>
        <w:t xml:space="preserve">highlighted the following from the report: </w:t>
      </w:r>
    </w:p>
    <w:p w14:paraId="709F0796" w14:textId="77777777" w:rsidR="00323D23" w:rsidRDefault="00323D23" w:rsidP="003F3F29">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1FF2E69A" w14:textId="77777777" w:rsidR="00323D23" w:rsidRDefault="00323D23" w:rsidP="00323D23">
      <w:pPr>
        <w:pStyle w:val="ListParagraph"/>
        <w:numPr>
          <w:ilvl w:val="0"/>
          <w:numId w:val="21"/>
        </w:numPr>
        <w:tabs>
          <w:tab w:val="left" w:pos="0"/>
          <w:tab w:val="left" w:pos="851"/>
          <w:tab w:val="num" w:pos="1134"/>
          <w:tab w:val="left" w:pos="7230"/>
          <w:tab w:val="left" w:pos="7938"/>
          <w:tab w:val="right" w:pos="8789"/>
        </w:tabs>
        <w:spacing w:after="0" w:line="240" w:lineRule="auto"/>
        <w:jc w:val="both"/>
        <w:rPr>
          <w:rFonts w:eastAsia="Times New Roman" w:cstheme="minorHAnsi"/>
        </w:rPr>
      </w:pPr>
      <w:r w:rsidRPr="00323D23">
        <w:rPr>
          <w:rFonts w:eastAsia="Times New Roman" w:cstheme="minorHAnsi"/>
          <w:b/>
        </w:rPr>
        <w:t xml:space="preserve">Page </w:t>
      </w:r>
      <w:r>
        <w:rPr>
          <w:rFonts w:eastAsia="Times New Roman" w:cstheme="minorHAnsi"/>
          <w:b/>
        </w:rPr>
        <w:t>5</w:t>
      </w:r>
      <w:r w:rsidRPr="00323D23">
        <w:rPr>
          <w:rFonts w:eastAsia="Times New Roman" w:cstheme="minorHAnsi"/>
          <w:b/>
        </w:rPr>
        <w:t xml:space="preserve"> All Sectors – </w:t>
      </w:r>
      <w:r w:rsidRPr="00323D23">
        <w:rPr>
          <w:rFonts w:eastAsia="Times New Roman" w:cstheme="minorHAnsi"/>
        </w:rPr>
        <w:t xml:space="preserve">Professional Support has published a Technical Guidance Note </w:t>
      </w:r>
      <w:r>
        <w:rPr>
          <w:rFonts w:eastAsia="Times New Roman" w:cstheme="minorHAnsi"/>
        </w:rPr>
        <w:t xml:space="preserve">(TGN) </w:t>
      </w:r>
      <w:r w:rsidRPr="00323D23">
        <w:rPr>
          <w:rFonts w:eastAsia="Times New Roman" w:cstheme="minorHAnsi"/>
        </w:rPr>
        <w:t>to provide auditors with guidance on examining and reporting on the 2020/21 Whole of Government Accounts returns of public bodies in Scotland.</w:t>
      </w:r>
      <w:r w:rsidR="00DF70B3">
        <w:rPr>
          <w:rFonts w:eastAsia="Times New Roman" w:cstheme="minorHAnsi"/>
        </w:rPr>
        <w:t xml:space="preserve"> The WGA Return is currently prepared by the SFC on behalf of the Sector.</w:t>
      </w:r>
    </w:p>
    <w:p w14:paraId="44856502" w14:textId="77777777" w:rsidR="00323D23" w:rsidRPr="006C00E3" w:rsidRDefault="00323D23" w:rsidP="006C00E3">
      <w:pPr>
        <w:pStyle w:val="Default"/>
        <w:numPr>
          <w:ilvl w:val="0"/>
          <w:numId w:val="21"/>
        </w:numPr>
        <w:rPr>
          <w:rFonts w:eastAsia="Times New Roman" w:cstheme="minorHAnsi"/>
        </w:rPr>
      </w:pPr>
      <w:r w:rsidRPr="006C00E3">
        <w:rPr>
          <w:rFonts w:asciiTheme="minorHAnsi" w:eastAsia="Times New Roman" w:hAnsiTheme="minorHAnsi" w:cstheme="minorHAnsi"/>
          <w:b/>
          <w:color w:val="auto"/>
          <w:sz w:val="22"/>
          <w:szCs w:val="22"/>
        </w:rPr>
        <w:t xml:space="preserve">P 17 </w:t>
      </w:r>
      <w:r w:rsidRPr="006C00E3">
        <w:rPr>
          <w:rFonts w:asciiTheme="minorHAnsi" w:hAnsiTheme="minorHAnsi" w:cstheme="minorHAnsi"/>
          <w:color w:val="auto"/>
          <w:sz w:val="22"/>
          <w:szCs w:val="22"/>
        </w:rPr>
        <w:t xml:space="preserve">Professional Support has published Module 14 of TGN 2022/1. The TGN is intended to inform auditors’ judgement when identifying and assessing the risks of material misstatement in the 2021/22 annual report and accounts of central government bodies generally. </w:t>
      </w:r>
    </w:p>
    <w:p w14:paraId="4C80C702" w14:textId="77777777" w:rsidR="006C00E3" w:rsidRPr="006C00E3" w:rsidRDefault="006C00E3" w:rsidP="00A52C66">
      <w:pPr>
        <w:pStyle w:val="Default"/>
        <w:numPr>
          <w:ilvl w:val="0"/>
          <w:numId w:val="21"/>
        </w:numPr>
        <w:rPr>
          <w:rFonts w:eastAsia="Times New Roman" w:cstheme="minorHAnsi"/>
        </w:rPr>
      </w:pPr>
      <w:r w:rsidRPr="006C00E3">
        <w:rPr>
          <w:rFonts w:asciiTheme="minorHAnsi" w:eastAsia="Times New Roman" w:hAnsiTheme="minorHAnsi" w:cstheme="minorHAnsi"/>
          <w:b/>
          <w:color w:val="auto"/>
          <w:sz w:val="22"/>
          <w:szCs w:val="22"/>
        </w:rPr>
        <w:t xml:space="preserve">P 18 Para 47 </w:t>
      </w:r>
      <w:r w:rsidRPr="006C00E3">
        <w:rPr>
          <w:rFonts w:asciiTheme="minorHAnsi" w:hAnsiTheme="minorHAnsi" w:cstheme="minorHAnsi"/>
          <w:color w:val="auto"/>
          <w:sz w:val="22"/>
          <w:szCs w:val="22"/>
        </w:rPr>
        <w:t xml:space="preserve">The Scottish Funding Council (SFC) has issued their Accounts Direction for Scotland’s Colleges 2021/22. The direction requires colleges to comply with the SORP in preparing their financial statements and include a Performance Report and Accountability Report in their annual report and accounts in accordance with the FReM. </w:t>
      </w:r>
    </w:p>
    <w:p w14:paraId="035F63EF" w14:textId="77777777" w:rsidR="006C00E3" w:rsidRPr="006C00E3" w:rsidRDefault="006C00E3" w:rsidP="006C00E3">
      <w:pPr>
        <w:pStyle w:val="Default"/>
        <w:numPr>
          <w:ilvl w:val="0"/>
          <w:numId w:val="21"/>
        </w:numPr>
        <w:rPr>
          <w:rFonts w:eastAsia="Times New Roman" w:cstheme="minorHAnsi"/>
        </w:rPr>
      </w:pPr>
      <w:r>
        <w:rPr>
          <w:rFonts w:asciiTheme="minorHAnsi" w:eastAsia="Times New Roman" w:hAnsiTheme="minorHAnsi" w:cstheme="minorHAnsi"/>
          <w:b/>
          <w:color w:val="auto"/>
          <w:sz w:val="22"/>
          <w:szCs w:val="22"/>
        </w:rPr>
        <w:t xml:space="preserve">P 18 Para 48 </w:t>
      </w:r>
      <w:r w:rsidRPr="006C00E3">
        <w:rPr>
          <w:rFonts w:asciiTheme="minorHAnsi" w:eastAsia="Times New Roman" w:hAnsiTheme="minorHAnsi" w:cstheme="minorHAnsi"/>
          <w:color w:val="auto"/>
          <w:sz w:val="22"/>
          <w:szCs w:val="22"/>
        </w:rPr>
        <w:t>Specific mandatory disclosure requirements for colleges are set out in Appendix 2. This impacts on the performance report.</w:t>
      </w:r>
      <w:r>
        <w:rPr>
          <w:rFonts w:asciiTheme="minorHAnsi" w:eastAsia="Times New Roman" w:hAnsiTheme="minorHAnsi" w:cstheme="minorHAnsi"/>
          <w:b/>
          <w:color w:val="auto"/>
          <w:sz w:val="22"/>
          <w:szCs w:val="22"/>
        </w:rPr>
        <w:t xml:space="preserve"> </w:t>
      </w:r>
    </w:p>
    <w:p w14:paraId="7D8970E2" w14:textId="77777777" w:rsidR="006C00E3" w:rsidRPr="006C00E3" w:rsidRDefault="006C00E3" w:rsidP="006C00E3">
      <w:pPr>
        <w:pStyle w:val="Default"/>
        <w:numPr>
          <w:ilvl w:val="0"/>
          <w:numId w:val="21"/>
        </w:numPr>
        <w:rPr>
          <w:rFonts w:eastAsia="Times New Roman" w:cstheme="minorHAnsi"/>
        </w:rPr>
      </w:pPr>
      <w:r>
        <w:rPr>
          <w:rFonts w:asciiTheme="minorHAnsi" w:eastAsia="Times New Roman" w:hAnsiTheme="minorHAnsi" w:cstheme="minorHAnsi"/>
          <w:b/>
          <w:color w:val="auto"/>
          <w:sz w:val="22"/>
          <w:szCs w:val="22"/>
        </w:rPr>
        <w:t xml:space="preserve">P29 </w:t>
      </w:r>
      <w:r w:rsidRPr="006C00E3">
        <w:rPr>
          <w:rFonts w:asciiTheme="minorHAnsi" w:eastAsia="Times New Roman" w:hAnsiTheme="minorHAnsi" w:cstheme="minorHAnsi"/>
          <w:color w:val="auto"/>
          <w:sz w:val="22"/>
          <w:szCs w:val="22"/>
        </w:rPr>
        <w:t>sets out fraud cases related to payroll overpayments. NCL had an internal audit of payroll and no significant issues were identified and there are no concerns that overpayments might be made at NCL</w:t>
      </w:r>
      <w:r w:rsidR="00DF70B3">
        <w:rPr>
          <w:rFonts w:asciiTheme="minorHAnsi" w:eastAsia="Times New Roman" w:hAnsiTheme="minorHAnsi" w:cstheme="minorHAnsi"/>
          <w:color w:val="auto"/>
          <w:sz w:val="22"/>
          <w:szCs w:val="22"/>
        </w:rPr>
        <w:t xml:space="preserve"> in relation to the frauds in the Report</w:t>
      </w:r>
      <w:r w:rsidRPr="006C00E3">
        <w:rPr>
          <w:rFonts w:asciiTheme="minorHAnsi" w:eastAsia="Times New Roman" w:hAnsiTheme="minorHAnsi" w:cstheme="minorHAnsi"/>
          <w:color w:val="auto"/>
          <w:sz w:val="22"/>
          <w:szCs w:val="22"/>
        </w:rPr>
        <w:t>.</w:t>
      </w:r>
    </w:p>
    <w:p w14:paraId="1CBC7CA0" w14:textId="77777777" w:rsidR="00BD2BF2" w:rsidRDefault="00BD2BF2" w:rsidP="003F3F29">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0605B69C" w14:textId="77777777" w:rsidR="00BB164C" w:rsidRDefault="00BB164C" w:rsidP="00BB164C">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 xml:space="preserve">10. </w:t>
      </w:r>
      <w:r w:rsidR="004673BE">
        <w:rPr>
          <w:rFonts w:eastAsia="Times New Roman" w:cstheme="minorHAnsi"/>
          <w:b/>
        </w:rPr>
        <w:t xml:space="preserve"> </w:t>
      </w:r>
      <w:r>
        <w:rPr>
          <w:rFonts w:eastAsia="Times New Roman" w:cstheme="minorHAnsi"/>
          <w:b/>
        </w:rPr>
        <w:t>RSB Consolidated Accounts</w:t>
      </w:r>
      <w:r>
        <w:rPr>
          <w:rFonts w:eastAsia="Times New Roman" w:cstheme="minorHAnsi"/>
          <w:b/>
        </w:rPr>
        <w:tab/>
      </w:r>
    </w:p>
    <w:p w14:paraId="243B1FCB" w14:textId="77777777" w:rsidR="00BB164C" w:rsidRDefault="00BB164C" w:rsidP="00BB164C">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0B3F6D2A" w14:textId="77777777" w:rsidR="00D1001F" w:rsidRDefault="00BB164C" w:rsidP="00D1001F">
      <w:pPr>
        <w:tabs>
          <w:tab w:val="left" w:pos="567"/>
        </w:tabs>
        <w:rPr>
          <w:rFonts w:ascii="Calibri" w:hAnsi="Calibri" w:cs="Calibri"/>
          <w:b/>
        </w:rPr>
      </w:pPr>
      <w:r>
        <w:rPr>
          <w:rFonts w:eastAsia="Times New Roman" w:cstheme="minorHAnsi"/>
          <w:b/>
        </w:rPr>
        <w:t>10.1</w:t>
      </w:r>
      <w:r w:rsidR="002A45AA">
        <w:rPr>
          <w:rFonts w:eastAsia="Times New Roman" w:cstheme="minorHAnsi"/>
          <w:b/>
        </w:rPr>
        <w:t>.1</w:t>
      </w:r>
      <w:r>
        <w:rPr>
          <w:rFonts w:eastAsia="Times New Roman" w:cstheme="minorHAnsi"/>
          <w:b/>
        </w:rPr>
        <w:t xml:space="preserve"> </w:t>
      </w:r>
      <w:r w:rsidRPr="00FA2B21">
        <w:rPr>
          <w:rFonts w:ascii="Calibri" w:hAnsi="Calibri" w:cs="Calibri"/>
          <w:b/>
        </w:rPr>
        <w:t>Annual Audit Report 20</w:t>
      </w:r>
      <w:r>
        <w:rPr>
          <w:rFonts w:ascii="Calibri" w:hAnsi="Calibri" w:cs="Calibri"/>
          <w:b/>
        </w:rPr>
        <w:t>21</w:t>
      </w:r>
      <w:r w:rsidRPr="00FA2B21">
        <w:rPr>
          <w:rFonts w:ascii="Calibri" w:hAnsi="Calibri" w:cs="Calibri"/>
          <w:b/>
        </w:rPr>
        <w:t>/2</w:t>
      </w:r>
      <w:r>
        <w:rPr>
          <w:rFonts w:ascii="Calibri" w:hAnsi="Calibri" w:cs="Calibri"/>
          <w:b/>
        </w:rPr>
        <w:t>2</w:t>
      </w:r>
      <w:r w:rsidR="00D1001F">
        <w:rPr>
          <w:rFonts w:ascii="Calibri" w:hAnsi="Calibri" w:cs="Calibri"/>
          <w:b/>
        </w:rPr>
        <w:t xml:space="preserve">: </w:t>
      </w:r>
      <w:r w:rsidR="00D1001F" w:rsidRPr="00C07554">
        <w:rPr>
          <w:rFonts w:ascii="Calibri" w:hAnsi="Calibri" w:cs="Calibri"/>
        </w:rPr>
        <w:t xml:space="preserve">The regional report is in draft pending discussions and agreement on the SLC </w:t>
      </w:r>
      <w:r w:rsidR="00DF70B3">
        <w:rPr>
          <w:rFonts w:ascii="Calibri" w:hAnsi="Calibri" w:cs="Calibri"/>
        </w:rPr>
        <w:t>G</w:t>
      </w:r>
      <w:r w:rsidR="00D1001F" w:rsidRPr="00C07554">
        <w:rPr>
          <w:rFonts w:ascii="Calibri" w:hAnsi="Calibri" w:cs="Calibri"/>
        </w:rPr>
        <w:t xml:space="preserve">overnance </w:t>
      </w:r>
      <w:r w:rsidR="00DF70B3">
        <w:rPr>
          <w:rFonts w:ascii="Calibri" w:hAnsi="Calibri" w:cs="Calibri"/>
        </w:rPr>
        <w:t>S</w:t>
      </w:r>
      <w:r w:rsidR="00D1001F" w:rsidRPr="00C07554">
        <w:rPr>
          <w:rFonts w:ascii="Calibri" w:hAnsi="Calibri" w:cs="Calibri"/>
        </w:rPr>
        <w:t xml:space="preserve">tatement. Lucy Nutley presented the Draft Regional (NCL) Annual Audit Report to the </w:t>
      </w:r>
      <w:r w:rsidR="00DF70B3">
        <w:rPr>
          <w:rFonts w:ascii="Calibri" w:hAnsi="Calibri" w:cs="Calibri"/>
        </w:rPr>
        <w:t>C</w:t>
      </w:r>
      <w:r w:rsidR="00D1001F" w:rsidRPr="00C07554">
        <w:rPr>
          <w:rFonts w:ascii="Calibri" w:hAnsi="Calibri" w:cs="Calibri"/>
        </w:rPr>
        <w:t>ommittee as follows.</w:t>
      </w:r>
      <w:r w:rsidR="00D1001F">
        <w:rPr>
          <w:rFonts w:ascii="Calibri" w:hAnsi="Calibri" w:cs="Calibri"/>
          <w:b/>
        </w:rPr>
        <w:t xml:space="preserve">  </w:t>
      </w:r>
    </w:p>
    <w:p w14:paraId="1B4BA380" w14:textId="77777777" w:rsidR="00D1001F" w:rsidRDefault="00D1001F" w:rsidP="00D1001F">
      <w:pPr>
        <w:pStyle w:val="ListParagraph"/>
        <w:numPr>
          <w:ilvl w:val="0"/>
          <w:numId w:val="23"/>
        </w:numPr>
        <w:rPr>
          <w:rFonts w:cstheme="minorHAnsi"/>
        </w:rPr>
      </w:pPr>
      <w:r w:rsidRPr="00C07554">
        <w:rPr>
          <w:rFonts w:ascii="Calibri" w:hAnsi="Calibri" w:cs="Calibri"/>
          <w:b/>
        </w:rPr>
        <w:t xml:space="preserve">P 4 &amp; 5 </w:t>
      </w:r>
      <w:r w:rsidRPr="00C07554">
        <w:rPr>
          <w:rFonts w:ascii="Calibri" w:hAnsi="Calibri" w:cs="Calibri"/>
        </w:rPr>
        <w:t>The auditors</w:t>
      </w:r>
      <w:r w:rsidRPr="00C07554">
        <w:rPr>
          <w:rFonts w:ascii="Calibri" w:hAnsi="Calibri" w:cs="Calibri"/>
          <w:b/>
        </w:rPr>
        <w:t xml:space="preserve"> </w:t>
      </w:r>
      <w:r w:rsidRPr="00C07554">
        <w:rPr>
          <w:rFonts w:cstheme="minorHAnsi"/>
        </w:rPr>
        <w:t xml:space="preserve">anticipate an unqualified opinion, without modification, on the financial statements, on regularity and on other requirements (the remuneration and staff report, performance report and governance statement). </w:t>
      </w:r>
      <w:r>
        <w:rPr>
          <w:rFonts w:cstheme="minorHAnsi"/>
        </w:rPr>
        <w:t>The wider scope work concludes that t</w:t>
      </w:r>
      <w:r w:rsidRPr="00C07554">
        <w:rPr>
          <w:rFonts w:cstheme="minorHAnsi"/>
        </w:rPr>
        <w:t xml:space="preserve">here are adequate arrangements in place for Financial Management, Financial Sustainability, Governance and Transparency and Value for Money. </w:t>
      </w:r>
      <w:r>
        <w:rPr>
          <w:rFonts w:cstheme="minorHAnsi"/>
        </w:rPr>
        <w:t>T</w:t>
      </w:r>
      <w:r w:rsidRPr="00C07554">
        <w:rPr>
          <w:rFonts w:cstheme="minorHAnsi"/>
        </w:rPr>
        <w:t xml:space="preserve">he auditors </w:t>
      </w:r>
      <w:r>
        <w:rPr>
          <w:rFonts w:cstheme="minorHAnsi"/>
        </w:rPr>
        <w:t xml:space="preserve">have a modified conclusion in the wider scope work on financial sustainability </w:t>
      </w:r>
      <w:r w:rsidRPr="00C07554">
        <w:rPr>
          <w:rFonts w:cstheme="minorHAnsi"/>
        </w:rPr>
        <w:t>consider</w:t>
      </w:r>
      <w:r>
        <w:rPr>
          <w:rFonts w:cstheme="minorHAnsi"/>
        </w:rPr>
        <w:t>ing</w:t>
      </w:r>
      <w:r w:rsidRPr="00C07554">
        <w:rPr>
          <w:rFonts w:cstheme="minorHAnsi"/>
        </w:rPr>
        <w:t xml:space="preserve"> that the college’s ability to remain financially sustainable over the medium to longer term remains a significant risk. </w:t>
      </w:r>
      <w:r>
        <w:rPr>
          <w:rFonts w:cstheme="minorHAnsi"/>
        </w:rPr>
        <w:t>However, t</w:t>
      </w:r>
      <w:r w:rsidRPr="00C07554">
        <w:rPr>
          <w:rFonts w:cstheme="minorHAnsi"/>
        </w:rPr>
        <w:t>his is in the context of sector wide financial sustainability issues.</w:t>
      </w:r>
    </w:p>
    <w:p w14:paraId="3FCC24AA" w14:textId="77777777" w:rsidR="00D1001F" w:rsidRPr="00F754D9" w:rsidRDefault="00D1001F" w:rsidP="00D1001F">
      <w:pPr>
        <w:pStyle w:val="ListParagraph"/>
        <w:numPr>
          <w:ilvl w:val="0"/>
          <w:numId w:val="23"/>
        </w:numPr>
        <w:rPr>
          <w:rFonts w:cstheme="minorHAnsi"/>
        </w:rPr>
      </w:pPr>
      <w:r>
        <w:rPr>
          <w:rFonts w:ascii="Calibri" w:hAnsi="Calibri" w:cs="Calibri"/>
          <w:b/>
        </w:rPr>
        <w:t xml:space="preserve">P6 </w:t>
      </w:r>
      <w:r w:rsidRPr="00D1001F">
        <w:rPr>
          <w:rFonts w:ascii="Calibri" w:hAnsi="Calibri" w:cs="Calibri"/>
        </w:rPr>
        <w:t xml:space="preserve">shows the status of the audit work which includes final reviews and the finalising of the </w:t>
      </w:r>
      <w:r w:rsidR="00DF70B3">
        <w:rPr>
          <w:rFonts w:ascii="Calibri" w:hAnsi="Calibri" w:cs="Calibri"/>
        </w:rPr>
        <w:t>G</w:t>
      </w:r>
      <w:r w:rsidRPr="00D1001F">
        <w:rPr>
          <w:rFonts w:ascii="Calibri" w:hAnsi="Calibri" w:cs="Calibri"/>
        </w:rPr>
        <w:t xml:space="preserve">overnance </w:t>
      </w:r>
      <w:r w:rsidR="00DF70B3">
        <w:rPr>
          <w:rFonts w:ascii="Calibri" w:hAnsi="Calibri" w:cs="Calibri"/>
        </w:rPr>
        <w:t>S</w:t>
      </w:r>
      <w:r w:rsidRPr="00D1001F">
        <w:rPr>
          <w:rFonts w:ascii="Calibri" w:hAnsi="Calibri" w:cs="Calibri"/>
        </w:rPr>
        <w:t>tatement</w:t>
      </w:r>
    </w:p>
    <w:p w14:paraId="15A76C52" w14:textId="77777777" w:rsidR="00F754D9" w:rsidRPr="00F754D9" w:rsidRDefault="00F754D9" w:rsidP="00D1001F">
      <w:pPr>
        <w:pStyle w:val="ListParagraph"/>
        <w:numPr>
          <w:ilvl w:val="0"/>
          <w:numId w:val="23"/>
        </w:numPr>
        <w:rPr>
          <w:rFonts w:cstheme="minorHAnsi"/>
        </w:rPr>
      </w:pPr>
      <w:r>
        <w:rPr>
          <w:rFonts w:ascii="Calibri" w:hAnsi="Calibri" w:cs="Calibri"/>
          <w:b/>
        </w:rPr>
        <w:t xml:space="preserve">P 13 </w:t>
      </w:r>
      <w:r w:rsidRPr="00F754D9">
        <w:rPr>
          <w:rFonts w:ascii="Calibri" w:hAnsi="Calibri" w:cs="Calibri"/>
        </w:rPr>
        <w:t>Satisfactory assurance has been gained in respect of the valuation of land and buildings</w:t>
      </w:r>
      <w:r>
        <w:rPr>
          <w:rFonts w:ascii="Calibri" w:hAnsi="Calibri" w:cs="Calibri"/>
          <w:b/>
        </w:rPr>
        <w:t xml:space="preserve"> </w:t>
      </w:r>
    </w:p>
    <w:p w14:paraId="52F3421B" w14:textId="77777777" w:rsidR="002A45AA" w:rsidRPr="002A45AA" w:rsidRDefault="00F754D9" w:rsidP="002A45AA">
      <w:pPr>
        <w:pStyle w:val="ListParagraph"/>
        <w:numPr>
          <w:ilvl w:val="0"/>
          <w:numId w:val="23"/>
        </w:numPr>
        <w:ind w:hanging="258"/>
        <w:rPr>
          <w:rFonts w:cstheme="minorHAnsi"/>
          <w:b/>
        </w:rPr>
      </w:pPr>
      <w:r w:rsidRPr="002A45AA">
        <w:rPr>
          <w:rFonts w:ascii="Calibri" w:hAnsi="Calibri" w:cs="Calibri"/>
          <w:b/>
        </w:rPr>
        <w:lastRenderedPageBreak/>
        <w:t xml:space="preserve">P 14 </w:t>
      </w:r>
      <w:r w:rsidRPr="002A45AA">
        <w:rPr>
          <w:rFonts w:ascii="Calibri" w:hAnsi="Calibri" w:cs="Calibri"/>
        </w:rPr>
        <w:t>valuation of pension liabilities – satisfactory assurance has been gained in respect of the valuation of the colleges share of the Strathclyde Pension Scheme.</w:t>
      </w:r>
    </w:p>
    <w:p w14:paraId="593BE81D" w14:textId="77777777" w:rsidR="002A45AA" w:rsidRPr="002A45AA" w:rsidRDefault="00D1001F" w:rsidP="002A45AA">
      <w:pPr>
        <w:pStyle w:val="ListParagraph"/>
        <w:numPr>
          <w:ilvl w:val="0"/>
          <w:numId w:val="23"/>
        </w:numPr>
        <w:spacing w:line="240" w:lineRule="auto"/>
        <w:ind w:left="465" w:firstLine="102"/>
        <w:rPr>
          <w:rFonts w:cstheme="minorHAnsi"/>
          <w:b/>
        </w:rPr>
      </w:pPr>
      <w:r w:rsidRPr="002A45AA">
        <w:rPr>
          <w:rFonts w:cstheme="minorHAnsi"/>
          <w:b/>
        </w:rPr>
        <w:t>P 15 Significant matters discussed with management</w:t>
      </w:r>
    </w:p>
    <w:p w14:paraId="6A44865C" w14:textId="77777777" w:rsidR="00D1001F" w:rsidRDefault="00D1001F" w:rsidP="002A45AA">
      <w:pPr>
        <w:pStyle w:val="Default"/>
        <w:numPr>
          <w:ilvl w:val="0"/>
          <w:numId w:val="24"/>
        </w:numPr>
        <w:ind w:left="1276"/>
        <w:contextualSpacing/>
        <w:rPr>
          <w:rFonts w:asciiTheme="minorHAnsi" w:hAnsiTheme="minorHAnsi" w:cstheme="minorHAnsi"/>
          <w:color w:val="auto"/>
          <w:sz w:val="22"/>
          <w:szCs w:val="22"/>
        </w:rPr>
      </w:pPr>
      <w:r w:rsidRPr="005A71AA">
        <w:rPr>
          <w:rFonts w:asciiTheme="minorHAnsi" w:hAnsiTheme="minorHAnsi" w:cstheme="minorHAnsi"/>
          <w:color w:val="auto"/>
          <w:sz w:val="22"/>
          <w:szCs w:val="22"/>
        </w:rPr>
        <w:t xml:space="preserve">It was noted that at 31 July 2022 the College’s share of the Strathclyde Pension Fund was recorded as a notional surplus as the value of the defined benefit obligation was less than the fair value of the plan assets at that date, meaning that the pension liability usually recorded is now a pension asset. The auditors have had discussions with management as to the most appropriate accounting treatment and disclosure of the pension asset. </w:t>
      </w:r>
    </w:p>
    <w:p w14:paraId="61E371DA" w14:textId="77777777" w:rsidR="00D1001F" w:rsidRDefault="00D1001F" w:rsidP="00D1001F">
      <w:pPr>
        <w:pStyle w:val="Default"/>
        <w:numPr>
          <w:ilvl w:val="0"/>
          <w:numId w:val="24"/>
        </w:numPr>
        <w:ind w:left="1276"/>
        <w:rPr>
          <w:rFonts w:asciiTheme="minorHAnsi" w:hAnsiTheme="minorHAnsi" w:cstheme="minorHAnsi"/>
          <w:color w:val="auto"/>
          <w:sz w:val="22"/>
          <w:szCs w:val="22"/>
        </w:rPr>
      </w:pPr>
      <w:r w:rsidRPr="005A71AA">
        <w:rPr>
          <w:rFonts w:asciiTheme="minorHAnsi" w:hAnsiTheme="minorHAnsi" w:cstheme="minorHAnsi"/>
          <w:color w:val="auto"/>
          <w:sz w:val="22"/>
          <w:szCs w:val="22"/>
        </w:rPr>
        <w:t xml:space="preserve">During the course of the audit, the financial position of the College changed resulting from a late announcement from the Scottish Funding Council (SFC) and the college seeking clarification on the announcement that declared that Colleges who had not met their credit targets could use a 2% tolerance for missed credit targets for core plus deferred credits. This resulted in the College being able to release around £819k of a credit provision that was intended to be returned to SFC, into income. The impact has increased income but the reported adjusted operating position has remained as a deficit as at 31 July 2022. </w:t>
      </w:r>
      <w:r w:rsidR="00DF70B3">
        <w:rPr>
          <w:rFonts w:asciiTheme="minorHAnsi" w:hAnsiTheme="minorHAnsi" w:cstheme="minorHAnsi"/>
          <w:color w:val="auto"/>
          <w:sz w:val="22"/>
          <w:szCs w:val="22"/>
        </w:rPr>
        <w:t xml:space="preserve">This </w:t>
      </w:r>
      <w:r w:rsidR="00395403">
        <w:rPr>
          <w:rFonts w:asciiTheme="minorHAnsi" w:hAnsiTheme="minorHAnsi" w:cstheme="minorHAnsi"/>
          <w:color w:val="auto"/>
          <w:sz w:val="22"/>
          <w:szCs w:val="22"/>
        </w:rPr>
        <w:t xml:space="preserve">late guidance </w:t>
      </w:r>
      <w:r w:rsidR="00DF70B3">
        <w:rPr>
          <w:rFonts w:asciiTheme="minorHAnsi" w:hAnsiTheme="minorHAnsi" w:cstheme="minorHAnsi"/>
          <w:color w:val="auto"/>
          <w:sz w:val="22"/>
          <w:szCs w:val="22"/>
        </w:rPr>
        <w:t>also affected other Colleges being audited by Mazars.</w:t>
      </w:r>
    </w:p>
    <w:p w14:paraId="6D93B0C1" w14:textId="77777777" w:rsidR="002A45AA" w:rsidRPr="002A45AA" w:rsidRDefault="00D1001F" w:rsidP="002A45AA">
      <w:pPr>
        <w:pStyle w:val="Default"/>
        <w:numPr>
          <w:ilvl w:val="0"/>
          <w:numId w:val="27"/>
        </w:numPr>
        <w:ind w:left="1276"/>
        <w:rPr>
          <w:rFonts w:asciiTheme="minorHAnsi" w:hAnsiTheme="minorHAnsi" w:cstheme="minorHAnsi"/>
          <w:color w:val="auto"/>
          <w:sz w:val="22"/>
          <w:szCs w:val="22"/>
        </w:rPr>
      </w:pPr>
      <w:r w:rsidRPr="002A45AA">
        <w:rPr>
          <w:rFonts w:asciiTheme="minorHAnsi" w:hAnsiTheme="minorHAnsi" w:cstheme="minorHAnsi"/>
          <w:color w:val="auto"/>
          <w:sz w:val="22"/>
          <w:szCs w:val="22"/>
        </w:rPr>
        <w:t xml:space="preserve">At the time of writing discussions are still ongoing between external audit and South Lanarkshire College regarding their Governance Statement. Until this is agreed, New College Lanarkshire are unable to finalise the Regional Governance Statement. </w:t>
      </w:r>
    </w:p>
    <w:p w14:paraId="55F0BFEB" w14:textId="77777777" w:rsidR="00F754D9" w:rsidRDefault="00F754D9" w:rsidP="002A45AA">
      <w:pPr>
        <w:pStyle w:val="Default"/>
        <w:numPr>
          <w:ilvl w:val="0"/>
          <w:numId w:val="26"/>
        </w:numPr>
        <w:ind w:hanging="153"/>
        <w:rPr>
          <w:rFonts w:asciiTheme="minorHAnsi" w:hAnsiTheme="minorHAnsi" w:cstheme="minorHAnsi"/>
          <w:color w:val="auto"/>
          <w:sz w:val="22"/>
          <w:szCs w:val="22"/>
        </w:rPr>
      </w:pPr>
      <w:r w:rsidRPr="00F754D9">
        <w:rPr>
          <w:rFonts w:asciiTheme="minorHAnsi" w:hAnsiTheme="minorHAnsi" w:cstheme="minorHAnsi"/>
          <w:b/>
          <w:color w:val="auto"/>
          <w:sz w:val="22"/>
          <w:szCs w:val="22"/>
        </w:rPr>
        <w:t>P 18</w:t>
      </w:r>
      <w:r>
        <w:rPr>
          <w:rFonts w:asciiTheme="minorHAnsi" w:hAnsiTheme="minorHAnsi" w:cstheme="minorHAnsi"/>
          <w:color w:val="auto"/>
          <w:sz w:val="22"/>
          <w:szCs w:val="22"/>
        </w:rPr>
        <w:t xml:space="preserve"> – shows the adjusted mis- statement resulting from the late announcement from the SFC re credit targets noted at point 2 in the P15 comments above. </w:t>
      </w:r>
      <w:r w:rsidR="00DF70B3">
        <w:rPr>
          <w:rFonts w:asciiTheme="minorHAnsi" w:hAnsiTheme="minorHAnsi" w:cstheme="minorHAnsi"/>
          <w:color w:val="auto"/>
          <w:sz w:val="22"/>
          <w:szCs w:val="22"/>
        </w:rPr>
        <w:t>Mazars stressed that this was as a consequence of the lateness of the guidance issued by the SFC.</w:t>
      </w:r>
    </w:p>
    <w:p w14:paraId="0FFF721E" w14:textId="77777777" w:rsidR="00F754D9" w:rsidRDefault="00F754D9" w:rsidP="002A45AA">
      <w:pPr>
        <w:pStyle w:val="Default"/>
        <w:numPr>
          <w:ilvl w:val="0"/>
          <w:numId w:val="26"/>
        </w:numPr>
        <w:ind w:hanging="153"/>
        <w:rPr>
          <w:rFonts w:asciiTheme="minorHAnsi" w:hAnsiTheme="minorHAnsi" w:cstheme="minorHAnsi"/>
          <w:color w:val="auto"/>
          <w:sz w:val="22"/>
          <w:szCs w:val="22"/>
        </w:rPr>
      </w:pPr>
      <w:r w:rsidRPr="00F754D9">
        <w:rPr>
          <w:rFonts w:asciiTheme="minorHAnsi" w:hAnsiTheme="minorHAnsi" w:cstheme="minorHAnsi"/>
          <w:b/>
          <w:color w:val="auto"/>
          <w:sz w:val="22"/>
          <w:szCs w:val="22"/>
        </w:rPr>
        <w:t>P 34</w:t>
      </w:r>
      <w:r>
        <w:rPr>
          <w:rFonts w:asciiTheme="minorHAnsi" w:hAnsiTheme="minorHAnsi" w:cstheme="minorHAnsi"/>
          <w:color w:val="auto"/>
          <w:sz w:val="22"/>
          <w:szCs w:val="22"/>
        </w:rPr>
        <w:t xml:space="preserve"> sets out the audit fee – an additional audit fee is being considered </w:t>
      </w:r>
      <w:r w:rsidR="002A45AA">
        <w:rPr>
          <w:rFonts w:asciiTheme="minorHAnsi" w:hAnsiTheme="minorHAnsi" w:cstheme="minorHAnsi"/>
          <w:color w:val="auto"/>
          <w:sz w:val="22"/>
          <w:szCs w:val="22"/>
        </w:rPr>
        <w:t>following delays to the completion of the governance statement at SLC and this has an impact on the NCL accounts. Mazars will report to the Lanarkshire ARC if there is a requirement for extra audit fees.</w:t>
      </w:r>
    </w:p>
    <w:p w14:paraId="55C990E9" w14:textId="77777777" w:rsidR="00D1001F" w:rsidRDefault="00D1001F" w:rsidP="002A45AA">
      <w:pPr>
        <w:pStyle w:val="Default"/>
        <w:numPr>
          <w:ilvl w:val="0"/>
          <w:numId w:val="25"/>
        </w:numPr>
        <w:ind w:hanging="153"/>
        <w:rPr>
          <w:rFonts w:asciiTheme="minorHAnsi" w:hAnsiTheme="minorHAnsi" w:cstheme="minorHAnsi"/>
          <w:color w:val="auto"/>
          <w:sz w:val="22"/>
          <w:szCs w:val="22"/>
        </w:rPr>
      </w:pPr>
      <w:r w:rsidRPr="000B44E5">
        <w:rPr>
          <w:rFonts w:asciiTheme="minorHAnsi" w:hAnsiTheme="minorHAnsi" w:cstheme="minorHAnsi"/>
          <w:b/>
          <w:color w:val="auto"/>
          <w:sz w:val="22"/>
          <w:szCs w:val="22"/>
        </w:rPr>
        <w:t>Appendix 1</w:t>
      </w:r>
      <w:r>
        <w:rPr>
          <w:rFonts w:asciiTheme="minorHAnsi" w:hAnsiTheme="minorHAnsi" w:cstheme="minorHAnsi"/>
          <w:color w:val="auto"/>
          <w:sz w:val="22"/>
          <w:szCs w:val="22"/>
        </w:rPr>
        <w:t xml:space="preserve"> sets out the </w:t>
      </w:r>
      <w:r w:rsidR="00DF70B3">
        <w:rPr>
          <w:rFonts w:asciiTheme="minorHAnsi" w:hAnsiTheme="minorHAnsi" w:cstheme="minorHAnsi"/>
          <w:color w:val="auto"/>
          <w:sz w:val="22"/>
          <w:szCs w:val="22"/>
        </w:rPr>
        <w:t>L</w:t>
      </w:r>
      <w:r>
        <w:rPr>
          <w:rFonts w:asciiTheme="minorHAnsi" w:hAnsiTheme="minorHAnsi" w:cstheme="minorHAnsi"/>
          <w:color w:val="auto"/>
          <w:sz w:val="22"/>
          <w:szCs w:val="22"/>
        </w:rPr>
        <w:t xml:space="preserve">etter of </w:t>
      </w:r>
      <w:r w:rsidR="00DF70B3">
        <w:rPr>
          <w:rFonts w:asciiTheme="minorHAnsi" w:hAnsiTheme="minorHAnsi" w:cstheme="minorHAnsi"/>
          <w:color w:val="auto"/>
          <w:sz w:val="22"/>
          <w:szCs w:val="22"/>
        </w:rPr>
        <w:t>R</w:t>
      </w:r>
      <w:r>
        <w:rPr>
          <w:rFonts w:asciiTheme="minorHAnsi" w:hAnsiTheme="minorHAnsi" w:cstheme="minorHAnsi"/>
          <w:color w:val="auto"/>
          <w:sz w:val="22"/>
          <w:szCs w:val="22"/>
        </w:rPr>
        <w:t xml:space="preserve">epresentation and Appendix 2 the unqualified opinion. </w:t>
      </w:r>
    </w:p>
    <w:p w14:paraId="30C91456" w14:textId="77777777" w:rsidR="00D1001F" w:rsidRPr="005A71AA" w:rsidRDefault="00D1001F" w:rsidP="00D1001F">
      <w:pPr>
        <w:pStyle w:val="Default"/>
        <w:rPr>
          <w:rFonts w:asciiTheme="minorHAnsi" w:hAnsiTheme="minorHAnsi" w:cstheme="minorHAnsi"/>
          <w:color w:val="auto"/>
          <w:sz w:val="22"/>
          <w:szCs w:val="22"/>
        </w:rPr>
      </w:pPr>
    </w:p>
    <w:p w14:paraId="2D1DEAFB" w14:textId="77777777" w:rsidR="00D1001F" w:rsidRDefault="002A45AA" w:rsidP="00D1001F">
      <w:pPr>
        <w:contextualSpacing/>
        <w:rPr>
          <w:rFonts w:cstheme="minorHAnsi"/>
        </w:rPr>
      </w:pPr>
      <w:r>
        <w:rPr>
          <w:rFonts w:cstheme="minorHAnsi"/>
          <w:b/>
        </w:rPr>
        <w:t>10</w:t>
      </w:r>
      <w:r w:rsidR="00D1001F">
        <w:rPr>
          <w:rFonts w:cstheme="minorHAnsi"/>
          <w:b/>
        </w:rPr>
        <w:t>.</w:t>
      </w:r>
      <w:r>
        <w:rPr>
          <w:rFonts w:cstheme="minorHAnsi"/>
          <w:b/>
        </w:rPr>
        <w:t>1.</w:t>
      </w:r>
      <w:r w:rsidR="00D1001F">
        <w:rPr>
          <w:rFonts w:cstheme="minorHAnsi"/>
          <w:b/>
        </w:rPr>
        <w:t xml:space="preserve">2 </w:t>
      </w:r>
      <w:r w:rsidR="00D1001F" w:rsidRPr="00C35B39">
        <w:rPr>
          <w:rFonts w:cstheme="minorHAnsi"/>
        </w:rPr>
        <w:t>Lucy Nutley re-iterated her thanks to the Finance Team and all who were involved in the accounts process for their help over the years and Iain Clark</w:t>
      </w:r>
      <w:r>
        <w:rPr>
          <w:rFonts w:cstheme="minorHAnsi"/>
        </w:rPr>
        <w:t>,</w:t>
      </w:r>
      <w:r w:rsidR="00D1001F" w:rsidRPr="00C35B39">
        <w:rPr>
          <w:rFonts w:cstheme="minorHAnsi"/>
        </w:rPr>
        <w:t xml:space="preserve"> in turn</w:t>
      </w:r>
      <w:r>
        <w:rPr>
          <w:rFonts w:cstheme="minorHAnsi"/>
        </w:rPr>
        <w:t>,</w:t>
      </w:r>
      <w:r w:rsidR="00D1001F" w:rsidRPr="00C35B39">
        <w:rPr>
          <w:rFonts w:cstheme="minorHAnsi"/>
        </w:rPr>
        <w:t xml:space="preserve"> thanked Lucy and her team for the work that they had done with NCL on the accounts over their period as external auditors.</w:t>
      </w:r>
      <w:r>
        <w:rPr>
          <w:rFonts w:cstheme="minorHAnsi"/>
        </w:rPr>
        <w:t xml:space="preserve"> Yvonne Finlayson </w:t>
      </w:r>
      <w:r w:rsidR="00BF6045">
        <w:rPr>
          <w:rFonts w:cstheme="minorHAnsi"/>
        </w:rPr>
        <w:t>commented that she thought that the format of the report was very good and also thanked the external auditors for their work.</w:t>
      </w:r>
    </w:p>
    <w:p w14:paraId="6FCC5A73" w14:textId="77777777" w:rsidR="002A45AA" w:rsidRDefault="002A45AA" w:rsidP="00D1001F">
      <w:pPr>
        <w:contextualSpacing/>
        <w:rPr>
          <w:rFonts w:cstheme="minorHAnsi"/>
        </w:rPr>
      </w:pPr>
    </w:p>
    <w:p w14:paraId="0DB6E19F" w14:textId="77777777" w:rsidR="002A45AA" w:rsidRDefault="002A45AA" w:rsidP="00D1001F">
      <w:pPr>
        <w:contextualSpacing/>
        <w:rPr>
          <w:rFonts w:cstheme="minorHAnsi"/>
        </w:rPr>
      </w:pPr>
      <w:r w:rsidRPr="002A45AA">
        <w:rPr>
          <w:rFonts w:cstheme="minorHAnsi"/>
          <w:b/>
        </w:rPr>
        <w:t>10.1.3</w:t>
      </w:r>
      <w:r>
        <w:rPr>
          <w:rFonts w:cstheme="minorHAnsi"/>
          <w:b/>
        </w:rPr>
        <w:t xml:space="preserve"> </w:t>
      </w:r>
      <w:r w:rsidR="00BF6045" w:rsidRPr="00BF6045">
        <w:rPr>
          <w:rFonts w:cstheme="minorHAnsi"/>
        </w:rPr>
        <w:t xml:space="preserve">Alan Sherry commented that he thought that the </w:t>
      </w:r>
      <w:r w:rsidR="00BF6045">
        <w:rPr>
          <w:rFonts w:cstheme="minorHAnsi"/>
        </w:rPr>
        <w:t xml:space="preserve">interchanging </w:t>
      </w:r>
      <w:r w:rsidR="00BF6045" w:rsidRPr="00BF6045">
        <w:rPr>
          <w:rFonts w:cstheme="minorHAnsi"/>
        </w:rPr>
        <w:t xml:space="preserve">use of the words NCL, College, Regional Strategic Body </w:t>
      </w:r>
      <w:r w:rsidR="00BF6045">
        <w:rPr>
          <w:rFonts w:cstheme="minorHAnsi"/>
        </w:rPr>
        <w:t xml:space="preserve">and Lanarkshire Board </w:t>
      </w:r>
      <w:r w:rsidR="00BF6045" w:rsidRPr="00BF6045">
        <w:rPr>
          <w:rFonts w:cstheme="minorHAnsi"/>
        </w:rPr>
        <w:t>was confusing</w:t>
      </w:r>
      <w:r w:rsidR="00BF6045">
        <w:rPr>
          <w:rFonts w:cstheme="minorHAnsi"/>
        </w:rPr>
        <w:t xml:space="preserve">. Ronnie Smith commented that the current legislation made the NCL Board the </w:t>
      </w:r>
      <w:r w:rsidR="00395403">
        <w:rPr>
          <w:rFonts w:cstheme="minorHAnsi"/>
        </w:rPr>
        <w:t>R</w:t>
      </w:r>
      <w:r w:rsidR="00BF6045">
        <w:rPr>
          <w:rFonts w:cstheme="minorHAnsi"/>
        </w:rPr>
        <w:t xml:space="preserve">egional </w:t>
      </w:r>
      <w:r w:rsidR="00395403">
        <w:rPr>
          <w:rFonts w:cstheme="minorHAnsi"/>
        </w:rPr>
        <w:t>C</w:t>
      </w:r>
      <w:r w:rsidR="00BF6045">
        <w:rPr>
          <w:rFonts w:cstheme="minorHAnsi"/>
        </w:rPr>
        <w:t>ollege Board and the Regional Strategic Body i.e. the Lanarkshire Board.</w:t>
      </w:r>
    </w:p>
    <w:p w14:paraId="3BFA3D58" w14:textId="77777777" w:rsidR="00BF6045" w:rsidRDefault="00BF6045" w:rsidP="00D1001F">
      <w:pPr>
        <w:contextualSpacing/>
        <w:rPr>
          <w:rFonts w:cstheme="minorHAnsi"/>
        </w:rPr>
      </w:pPr>
    </w:p>
    <w:p w14:paraId="0A1035BC" w14:textId="77777777" w:rsidR="00BF6045" w:rsidRPr="00BF6045" w:rsidRDefault="00BF6045" w:rsidP="00BF6045">
      <w:pPr>
        <w:pBdr>
          <w:top w:val="single" w:sz="4" w:space="1" w:color="auto"/>
          <w:left w:val="single" w:sz="4" w:space="4" w:color="auto"/>
          <w:bottom w:val="single" w:sz="4" w:space="1" w:color="auto"/>
          <w:right w:val="single" w:sz="4" w:space="4" w:color="auto"/>
        </w:pBdr>
        <w:contextualSpacing/>
        <w:rPr>
          <w:rFonts w:cstheme="minorHAnsi"/>
          <w:b/>
          <w:i/>
        </w:rPr>
      </w:pPr>
      <w:r w:rsidRPr="00BF6045">
        <w:rPr>
          <w:rFonts w:cstheme="minorHAnsi"/>
          <w:b/>
          <w:i/>
        </w:rPr>
        <w:t xml:space="preserve">Action: Lucy Nutley agreed that the external audit team would review use of terminology in the report. </w:t>
      </w:r>
    </w:p>
    <w:p w14:paraId="2AEA1BD4" w14:textId="77777777" w:rsidR="00D1001F" w:rsidRPr="005A71AA" w:rsidRDefault="00D1001F" w:rsidP="00D1001F">
      <w:pPr>
        <w:contextualSpacing/>
        <w:rPr>
          <w:rFonts w:cstheme="minorHAnsi"/>
          <w:b/>
        </w:rPr>
      </w:pPr>
    </w:p>
    <w:p w14:paraId="723A6622" w14:textId="77777777" w:rsidR="00D1001F" w:rsidRDefault="00EA1F2C" w:rsidP="003C40F8">
      <w:pPr>
        <w:tabs>
          <w:tab w:val="left" w:pos="567"/>
        </w:tabs>
        <w:rPr>
          <w:rFonts w:ascii="Calibri" w:hAnsi="Calibri" w:cs="Calibri"/>
          <w:b/>
        </w:rPr>
      </w:pPr>
      <w:r>
        <w:rPr>
          <w:rFonts w:ascii="Calibri" w:hAnsi="Calibri" w:cs="Calibri"/>
          <w:b/>
        </w:rPr>
        <w:t>10.2 RSB Consolidated Accounts 2021/22</w:t>
      </w:r>
    </w:p>
    <w:p w14:paraId="456D298D" w14:textId="77777777" w:rsidR="002F201A" w:rsidRDefault="002F201A" w:rsidP="002F201A">
      <w:pPr>
        <w:contextualSpacing/>
        <w:rPr>
          <w:rFonts w:ascii="Calibri" w:hAnsi="Calibri" w:cs="Calibri"/>
        </w:rPr>
      </w:pPr>
      <w:r>
        <w:rPr>
          <w:rFonts w:ascii="Calibri" w:hAnsi="Calibri" w:cs="Calibri"/>
          <w:b/>
        </w:rPr>
        <w:t>10</w:t>
      </w:r>
      <w:r w:rsidRPr="00C07554">
        <w:rPr>
          <w:rFonts w:ascii="Calibri" w:hAnsi="Calibri" w:cs="Calibri"/>
          <w:b/>
        </w:rPr>
        <w:t>.2.1</w:t>
      </w:r>
      <w:r>
        <w:rPr>
          <w:rFonts w:ascii="Calibri" w:hAnsi="Calibri" w:cs="Calibri"/>
        </w:rPr>
        <w:t xml:space="preserve"> </w:t>
      </w:r>
      <w:r w:rsidRPr="00A82C88">
        <w:rPr>
          <w:rFonts w:ascii="Calibri" w:hAnsi="Calibri" w:cs="Calibri"/>
        </w:rPr>
        <w:t>Iain Clark presented the draft statements</w:t>
      </w:r>
      <w:r>
        <w:rPr>
          <w:rFonts w:ascii="Calibri" w:hAnsi="Calibri" w:cs="Calibri"/>
        </w:rPr>
        <w:t xml:space="preserve"> noting that they were finalised apart from tidying some wording around disclosures, any post-balance sheet events, and for the Governance Statement which has to reflect the Governance Statement from SLC which is in the process of being finalised. He highlighted the following: </w:t>
      </w:r>
    </w:p>
    <w:p w14:paraId="07DFE22A" w14:textId="77777777" w:rsidR="002F201A" w:rsidRPr="00D62967" w:rsidRDefault="002F201A" w:rsidP="002F201A">
      <w:pPr>
        <w:pStyle w:val="ListParagraph"/>
        <w:numPr>
          <w:ilvl w:val="0"/>
          <w:numId w:val="22"/>
        </w:numPr>
        <w:spacing w:after="160" w:line="259" w:lineRule="auto"/>
      </w:pPr>
      <w:r w:rsidRPr="009A3DC7">
        <w:rPr>
          <w:rFonts w:ascii="Calibri" w:hAnsi="Calibri" w:cs="Calibri"/>
          <w:b/>
        </w:rPr>
        <w:lastRenderedPageBreak/>
        <w:t>P 23</w:t>
      </w:r>
      <w:r w:rsidRPr="009A3DC7">
        <w:rPr>
          <w:rFonts w:ascii="Calibri" w:hAnsi="Calibri" w:cs="Calibri"/>
        </w:rPr>
        <w:t xml:space="preserve"> It was noted that the </w:t>
      </w:r>
      <w:r>
        <w:rPr>
          <w:rFonts w:ascii="Calibri" w:hAnsi="Calibri" w:cs="Calibri"/>
        </w:rPr>
        <w:t>U</w:t>
      </w:r>
      <w:r w:rsidRPr="009A3DC7">
        <w:rPr>
          <w:rFonts w:ascii="Calibri" w:hAnsi="Calibri" w:cs="Calibri"/>
        </w:rPr>
        <w:t xml:space="preserve">nderlying </w:t>
      </w:r>
      <w:r>
        <w:rPr>
          <w:rFonts w:ascii="Calibri" w:hAnsi="Calibri" w:cs="Calibri"/>
        </w:rPr>
        <w:t>O</w:t>
      </w:r>
      <w:r w:rsidRPr="009A3DC7">
        <w:rPr>
          <w:rFonts w:ascii="Calibri" w:hAnsi="Calibri" w:cs="Calibri"/>
        </w:rPr>
        <w:t xml:space="preserve">perating </w:t>
      </w:r>
      <w:r>
        <w:rPr>
          <w:rFonts w:ascii="Calibri" w:hAnsi="Calibri" w:cs="Calibri"/>
        </w:rPr>
        <w:t>P</w:t>
      </w:r>
      <w:r w:rsidRPr="009A3DC7">
        <w:rPr>
          <w:rFonts w:ascii="Calibri" w:hAnsi="Calibri" w:cs="Calibri"/>
        </w:rPr>
        <w:t xml:space="preserve">osition is (£355k) for the </w:t>
      </w:r>
      <w:r>
        <w:rPr>
          <w:rFonts w:ascii="Calibri" w:hAnsi="Calibri" w:cs="Calibri"/>
        </w:rPr>
        <w:t>R</w:t>
      </w:r>
      <w:r w:rsidRPr="009A3DC7">
        <w:rPr>
          <w:rFonts w:ascii="Calibri" w:hAnsi="Calibri" w:cs="Calibri"/>
        </w:rPr>
        <w:t xml:space="preserve">egion and (£1,788k) for NCL. NCL plus its direct subsidiary Amcol made a combined Underlying Operating Deficit of (£1,432k). The deficit at NCL was mainly as a result of </w:t>
      </w:r>
      <w:r>
        <w:rPr>
          <w:rFonts w:ascii="Calibri" w:hAnsi="Calibri" w:cs="Calibri"/>
        </w:rPr>
        <w:t xml:space="preserve">an </w:t>
      </w:r>
      <w:r w:rsidRPr="009A3DC7">
        <w:rPr>
          <w:rFonts w:ascii="Calibri" w:hAnsi="Calibri" w:cs="Calibri"/>
        </w:rPr>
        <w:t xml:space="preserve">unfunded VS scheme which </w:t>
      </w:r>
      <w:r w:rsidRPr="00D62967">
        <w:t xml:space="preserve">cost a total of </w:t>
      </w:r>
      <w:r w:rsidRPr="009A3DC7">
        <w:rPr>
          <w:b/>
        </w:rPr>
        <w:t>£1,719,656</w:t>
      </w:r>
      <w:r>
        <w:rPr>
          <w:b/>
        </w:rPr>
        <w:t xml:space="preserve"> (c £1.145m recorded in 2021/22 Accounts) </w:t>
      </w:r>
      <w:r w:rsidRPr="009A3DC7">
        <w:t>in order to bring</w:t>
      </w:r>
      <w:r>
        <w:rPr>
          <w:b/>
        </w:rPr>
        <w:t xml:space="preserve"> a</w:t>
      </w:r>
      <w:r>
        <w:t xml:space="preserve"> </w:t>
      </w:r>
      <w:r w:rsidRPr="00D62967">
        <w:t>predicted</w:t>
      </w:r>
      <w:r>
        <w:t xml:space="preserve"> future </w:t>
      </w:r>
      <w:r w:rsidRPr="00D62967">
        <w:t>annual</w:t>
      </w:r>
      <w:r>
        <w:t>ised</w:t>
      </w:r>
      <w:r w:rsidRPr="00D62967">
        <w:t xml:space="preserve"> salary saving</w:t>
      </w:r>
      <w:r>
        <w:t xml:space="preserve"> of</w:t>
      </w:r>
      <w:r w:rsidRPr="00D62967">
        <w:t xml:space="preserve"> </w:t>
      </w:r>
      <w:r w:rsidRPr="00D62967">
        <w:rPr>
          <w:b/>
        </w:rPr>
        <w:t>£2,517,766</w:t>
      </w:r>
      <w:r w:rsidRPr="00D62967">
        <w:t>, including on costs (</w:t>
      </w:r>
      <w:r>
        <w:t>i.</w:t>
      </w:r>
      <w:r w:rsidRPr="00D62967">
        <w:t>e</w:t>
      </w:r>
      <w:r>
        <w:t>.</w:t>
      </w:r>
      <w:r w:rsidRPr="00D62967">
        <w:t xml:space="preserve"> Employer’s National Insurance and Pension contributions).</w:t>
      </w:r>
    </w:p>
    <w:p w14:paraId="32F413DD" w14:textId="77777777" w:rsidR="002F201A" w:rsidRPr="005259D2" w:rsidRDefault="002F201A" w:rsidP="002F201A">
      <w:pPr>
        <w:pStyle w:val="ListParagraph"/>
        <w:numPr>
          <w:ilvl w:val="0"/>
          <w:numId w:val="22"/>
        </w:numPr>
        <w:tabs>
          <w:tab w:val="left" w:pos="851"/>
        </w:tabs>
        <w:jc w:val="both"/>
        <w:rPr>
          <w:rFonts w:cstheme="minorHAnsi"/>
          <w:color w:val="000000" w:themeColor="text1"/>
        </w:rPr>
      </w:pPr>
      <w:r w:rsidRPr="005259D2">
        <w:rPr>
          <w:rFonts w:cstheme="minorHAnsi"/>
          <w:b/>
        </w:rPr>
        <w:t>P</w:t>
      </w:r>
      <w:r>
        <w:rPr>
          <w:rFonts w:cstheme="minorHAnsi"/>
          <w:b/>
        </w:rPr>
        <w:t xml:space="preserve"> </w:t>
      </w:r>
      <w:r w:rsidRPr="005259D2">
        <w:rPr>
          <w:rFonts w:cstheme="minorHAnsi"/>
          <w:b/>
        </w:rPr>
        <w:t xml:space="preserve">61 </w:t>
      </w:r>
      <w:r w:rsidRPr="005259D2">
        <w:rPr>
          <w:rFonts w:cstheme="minorHAnsi"/>
        </w:rPr>
        <w:t xml:space="preserve">This shows the </w:t>
      </w:r>
      <w:r>
        <w:rPr>
          <w:rFonts w:cstheme="minorHAnsi"/>
        </w:rPr>
        <w:t>Consolidated Statement of Comprehensive Income and Expenditure f</w:t>
      </w:r>
      <w:r w:rsidRPr="005259D2">
        <w:rPr>
          <w:rFonts w:cstheme="minorHAnsi"/>
          <w:color w:val="000000" w:themeColor="text1"/>
        </w:rPr>
        <w:t>or the year ended 31</w:t>
      </w:r>
      <w:r w:rsidRPr="005259D2">
        <w:rPr>
          <w:rFonts w:cstheme="minorHAnsi"/>
          <w:color w:val="000000" w:themeColor="text1"/>
          <w:vertAlign w:val="superscript"/>
        </w:rPr>
        <w:t>st</w:t>
      </w:r>
      <w:r w:rsidRPr="005259D2">
        <w:rPr>
          <w:rFonts w:cstheme="minorHAnsi"/>
          <w:color w:val="000000" w:themeColor="text1"/>
        </w:rPr>
        <w:t xml:space="preserve"> July 2022</w:t>
      </w:r>
      <w:r>
        <w:rPr>
          <w:rFonts w:cstheme="minorHAnsi"/>
          <w:color w:val="000000" w:themeColor="text1"/>
        </w:rPr>
        <w:t xml:space="preserve">. The balance sheet remains strong overall due to the Fixed Assets and Pensions Asset, however Working Capital is a concern. </w:t>
      </w:r>
    </w:p>
    <w:p w14:paraId="58AADE60" w14:textId="77777777" w:rsidR="002F201A" w:rsidRPr="00E21164" w:rsidRDefault="002F201A" w:rsidP="002F201A">
      <w:pPr>
        <w:pStyle w:val="ListParagraph"/>
        <w:numPr>
          <w:ilvl w:val="0"/>
          <w:numId w:val="22"/>
        </w:numPr>
        <w:jc w:val="both"/>
        <w:rPr>
          <w:rFonts w:cstheme="minorHAnsi"/>
          <w:color w:val="000000" w:themeColor="text1"/>
        </w:rPr>
      </w:pPr>
      <w:r w:rsidRPr="00E21164">
        <w:rPr>
          <w:rFonts w:ascii="Calibri" w:hAnsi="Calibri" w:cs="Calibri"/>
          <w:b/>
        </w:rPr>
        <w:t xml:space="preserve">P 92 </w:t>
      </w:r>
      <w:r w:rsidRPr="00E21164">
        <w:rPr>
          <w:rFonts w:cstheme="minorHAnsi"/>
        </w:rPr>
        <w:t xml:space="preserve">This page shows the Adjusted Operating Position on a Central Government Accounting basis. </w:t>
      </w:r>
      <w:r w:rsidRPr="00E21164">
        <w:rPr>
          <w:rFonts w:cstheme="minorHAnsi"/>
          <w:color w:val="000000" w:themeColor="text1"/>
        </w:rPr>
        <w:t>Under the FE/HE SORP, the Region recorded an operating deficit of £7,844k for the year ended 31</w:t>
      </w:r>
      <w:r w:rsidRPr="00E21164">
        <w:rPr>
          <w:rFonts w:cstheme="minorHAnsi"/>
          <w:color w:val="000000" w:themeColor="text1"/>
          <w:vertAlign w:val="superscript"/>
        </w:rPr>
        <w:t>st</w:t>
      </w:r>
      <w:r w:rsidRPr="00E21164">
        <w:rPr>
          <w:rFonts w:cstheme="minorHAnsi"/>
          <w:color w:val="000000" w:themeColor="text1"/>
        </w:rPr>
        <w:t xml:space="preserve"> July 2022.  After adjusting for the non-cash allocation provided under Government rules, the Region shows an “adjusted” deficit of £6,784k on a Central Government accounting basis.  </w:t>
      </w:r>
      <w:r>
        <w:rPr>
          <w:rFonts w:cstheme="minorHAnsi"/>
          <w:color w:val="000000" w:themeColor="text1"/>
        </w:rPr>
        <w:t xml:space="preserve">It was noted that </w:t>
      </w:r>
      <w:r w:rsidRPr="00E21164">
        <w:rPr>
          <w:rFonts w:cstheme="minorHAnsi"/>
          <w:bCs/>
        </w:rPr>
        <w:t xml:space="preserve">the key accepted metric for Audit Scotland and the Scottish Funding Council is the Underlying Operating Position. </w:t>
      </w:r>
      <w:r>
        <w:rPr>
          <w:rFonts w:cstheme="minorHAnsi"/>
          <w:bCs/>
        </w:rPr>
        <w:t xml:space="preserve">The </w:t>
      </w:r>
      <w:r w:rsidRPr="00E21164">
        <w:rPr>
          <w:rFonts w:cstheme="minorHAnsi"/>
          <w:color w:val="000000" w:themeColor="text1"/>
        </w:rPr>
        <w:t>Underlying Operating Position deficit of £355k</w:t>
      </w:r>
      <w:r w:rsidRPr="00E21164">
        <w:rPr>
          <w:rFonts w:cstheme="minorHAnsi"/>
        </w:rPr>
        <w:t xml:space="preserve"> </w:t>
      </w:r>
      <w:r w:rsidRPr="00E21164">
        <w:rPr>
          <w:rFonts w:cstheme="minorHAnsi"/>
          <w:color w:val="000000" w:themeColor="text1"/>
        </w:rPr>
        <w:t>adjusts for the actual depreciation less deferred capital grants as well as for non-cash pension adjustments, Transformation Funding and any non-government capital grants, in line with Scottish Funding Council guidance.</w:t>
      </w:r>
    </w:p>
    <w:p w14:paraId="2E21E197" w14:textId="77777777" w:rsidR="002F201A" w:rsidRPr="00473643" w:rsidRDefault="002F201A" w:rsidP="002F201A">
      <w:pPr>
        <w:contextualSpacing/>
        <w:rPr>
          <w:rFonts w:cstheme="minorHAnsi"/>
        </w:rPr>
      </w:pPr>
      <w:r>
        <w:rPr>
          <w:rFonts w:ascii="Calibri" w:hAnsi="Calibri" w:cs="Calibri"/>
          <w:b/>
        </w:rPr>
        <w:t xml:space="preserve">10.3: </w:t>
      </w:r>
      <w:r w:rsidRPr="002F201A">
        <w:rPr>
          <w:rFonts w:ascii="Calibri" w:hAnsi="Calibri" w:cs="Calibri"/>
          <w:b/>
        </w:rPr>
        <w:t xml:space="preserve"> </w:t>
      </w:r>
      <w:r>
        <w:rPr>
          <w:rFonts w:ascii="Calibri" w:hAnsi="Calibri" w:cs="Calibri"/>
          <w:b/>
        </w:rPr>
        <w:t>AMCOL Financial Statements 2021/22 T</w:t>
      </w:r>
      <w:r w:rsidRPr="00E21164">
        <w:rPr>
          <w:rFonts w:ascii="Calibri" w:hAnsi="Calibri" w:cs="Calibri"/>
        </w:rPr>
        <w:t>he Committee noted the AMCOL Financial Statements which are separately audited and approved by the AMCOL Board.</w:t>
      </w:r>
      <w:r w:rsidR="00395403">
        <w:rPr>
          <w:rFonts w:ascii="Calibri" w:hAnsi="Calibri" w:cs="Calibri"/>
        </w:rPr>
        <w:t xml:space="preserve"> </w:t>
      </w:r>
      <w:r w:rsidRPr="002F201A">
        <w:rPr>
          <w:rFonts w:ascii="Calibri" w:hAnsi="Calibri" w:cs="Calibri"/>
        </w:rPr>
        <w:t>The Income &amp; Expenditure Account recorded a surplus of £556,478 including the gain on revaluation of assets.</w:t>
      </w:r>
      <w:r>
        <w:rPr>
          <w:rFonts w:ascii="Calibri" w:hAnsi="Calibri" w:cs="Calibri"/>
          <w:b/>
        </w:rPr>
        <w:t xml:space="preserve"> </w:t>
      </w:r>
      <w:r w:rsidRPr="00473643">
        <w:rPr>
          <w:rFonts w:ascii="Calibri" w:hAnsi="Calibri" w:cs="Calibri"/>
        </w:rPr>
        <w:t>There is</w:t>
      </w:r>
      <w:r>
        <w:rPr>
          <w:rFonts w:ascii="Calibri" w:hAnsi="Calibri" w:cs="Calibri"/>
        </w:rPr>
        <w:t xml:space="preserve"> also</w:t>
      </w:r>
      <w:r w:rsidRPr="00473643">
        <w:rPr>
          <w:rFonts w:ascii="Calibri" w:hAnsi="Calibri" w:cs="Calibri"/>
        </w:rPr>
        <w:t xml:space="preserve"> a healthy balance sheet </w:t>
      </w:r>
      <w:r>
        <w:rPr>
          <w:rFonts w:ascii="Calibri" w:hAnsi="Calibri" w:cs="Calibri"/>
        </w:rPr>
        <w:t xml:space="preserve">with cash funds of c£1.8m </w:t>
      </w:r>
      <w:r w:rsidRPr="00473643">
        <w:rPr>
          <w:rFonts w:ascii="Calibri" w:hAnsi="Calibri" w:cs="Calibri"/>
        </w:rPr>
        <w:t>and net cash provided by operations for 2021/2</w:t>
      </w:r>
      <w:r>
        <w:rPr>
          <w:rFonts w:ascii="Calibri" w:hAnsi="Calibri" w:cs="Calibri"/>
        </w:rPr>
        <w:t>2</w:t>
      </w:r>
      <w:r w:rsidRPr="00473643">
        <w:rPr>
          <w:rFonts w:ascii="Calibri" w:hAnsi="Calibri" w:cs="Calibri"/>
        </w:rPr>
        <w:t xml:space="preserve"> was </w:t>
      </w:r>
      <w:r w:rsidRPr="00473643">
        <w:rPr>
          <w:rFonts w:cstheme="minorHAnsi"/>
        </w:rPr>
        <w:t>£414,880.</w:t>
      </w:r>
    </w:p>
    <w:p w14:paraId="64D83A17" w14:textId="77777777" w:rsidR="002F201A" w:rsidRDefault="002F201A" w:rsidP="002F201A">
      <w:pPr>
        <w:contextualSpacing/>
        <w:rPr>
          <w:rFonts w:cstheme="minorHAnsi"/>
        </w:rPr>
      </w:pPr>
    </w:p>
    <w:p w14:paraId="56397532" w14:textId="77777777" w:rsidR="002F201A" w:rsidRDefault="002F201A" w:rsidP="002F201A">
      <w:pPr>
        <w:contextualSpacing/>
        <w:rPr>
          <w:rFonts w:cstheme="minorHAnsi"/>
        </w:rPr>
      </w:pPr>
      <w:r>
        <w:rPr>
          <w:rFonts w:cstheme="minorHAnsi"/>
          <w:b/>
        </w:rPr>
        <w:t>10</w:t>
      </w:r>
      <w:r w:rsidRPr="00C07554">
        <w:rPr>
          <w:rFonts w:cstheme="minorHAnsi"/>
          <w:b/>
        </w:rPr>
        <w:t>.4</w:t>
      </w:r>
      <w:r>
        <w:rPr>
          <w:rFonts w:cstheme="minorHAnsi"/>
        </w:rPr>
        <w:t xml:space="preserve"> The Regional Financial Statements have a Governance Statement that cannot be completed until the Governance Statement is finalised at SLC. The Regional Accounts are, therefore, still in draft.</w:t>
      </w:r>
    </w:p>
    <w:p w14:paraId="7551EE21" w14:textId="77777777" w:rsidR="002F201A" w:rsidRDefault="002F201A" w:rsidP="002F201A">
      <w:pPr>
        <w:contextualSpacing/>
        <w:rPr>
          <w:rFonts w:cstheme="minorHAnsi"/>
          <w:b/>
        </w:rPr>
      </w:pPr>
    </w:p>
    <w:p w14:paraId="63296890" w14:textId="77777777" w:rsidR="002F201A" w:rsidRPr="00507375" w:rsidRDefault="002F201A" w:rsidP="002F201A">
      <w:pPr>
        <w:pBdr>
          <w:top w:val="single" w:sz="4" w:space="1" w:color="auto"/>
          <w:left w:val="single" w:sz="4" w:space="4" w:color="auto"/>
          <w:bottom w:val="single" w:sz="4" w:space="1" w:color="auto"/>
          <w:right w:val="single" w:sz="4" w:space="4" w:color="auto"/>
        </w:pBdr>
        <w:contextualSpacing/>
        <w:rPr>
          <w:rFonts w:ascii="Calibri" w:hAnsi="Calibri" w:cs="Calibri"/>
          <w:b/>
          <w:i/>
        </w:rPr>
      </w:pPr>
      <w:r w:rsidRPr="00507375">
        <w:rPr>
          <w:rFonts w:cstheme="minorHAnsi"/>
          <w:b/>
          <w:i/>
        </w:rPr>
        <w:t xml:space="preserve">Decision: </w:t>
      </w:r>
      <w:r>
        <w:rPr>
          <w:rFonts w:cstheme="minorHAnsi"/>
          <w:b/>
          <w:i/>
        </w:rPr>
        <w:t>The Board will receive the Draft Annual Report and the Draft Financial Statements for information at its meeting on the 12</w:t>
      </w:r>
      <w:r w:rsidRPr="00C07554">
        <w:rPr>
          <w:rFonts w:cstheme="minorHAnsi"/>
          <w:b/>
          <w:i/>
          <w:vertAlign w:val="superscript"/>
        </w:rPr>
        <w:t>th</w:t>
      </w:r>
      <w:r>
        <w:rPr>
          <w:rFonts w:cstheme="minorHAnsi"/>
          <w:b/>
          <w:i/>
        </w:rPr>
        <w:t xml:space="preserve"> December 2022.</w:t>
      </w:r>
      <w:r w:rsidRPr="00507375">
        <w:rPr>
          <w:rFonts w:cstheme="minorHAnsi"/>
          <w:b/>
          <w:i/>
        </w:rPr>
        <w:t xml:space="preserve">The </w:t>
      </w:r>
      <w:r>
        <w:rPr>
          <w:rFonts w:cstheme="minorHAnsi"/>
          <w:b/>
          <w:i/>
        </w:rPr>
        <w:t xml:space="preserve">Lanarkshire ARC </w:t>
      </w:r>
      <w:r w:rsidRPr="00507375">
        <w:rPr>
          <w:rFonts w:cstheme="minorHAnsi"/>
          <w:b/>
          <w:i/>
        </w:rPr>
        <w:t xml:space="preserve">agreed to recommend to the Board that it defers the approval and signature of the Regional (NCL) Annual Audit Report and consolidated Financial Statements 2021/22 to special meetings of the Lanarkshire Board ARC and Finance Committees and the Board </w:t>
      </w:r>
      <w:r>
        <w:rPr>
          <w:rFonts w:cstheme="minorHAnsi"/>
          <w:b/>
          <w:i/>
        </w:rPr>
        <w:t xml:space="preserve">with the meetings </w:t>
      </w:r>
      <w:r w:rsidRPr="00507375">
        <w:rPr>
          <w:rFonts w:cstheme="minorHAnsi"/>
          <w:b/>
          <w:i/>
        </w:rPr>
        <w:t xml:space="preserve">to be held in order to meet the accounts submission deadline. </w:t>
      </w:r>
    </w:p>
    <w:p w14:paraId="469D50D3" w14:textId="77777777" w:rsidR="002F201A" w:rsidRDefault="002F201A" w:rsidP="003C40F8">
      <w:pPr>
        <w:tabs>
          <w:tab w:val="left" w:pos="567"/>
        </w:tabs>
        <w:rPr>
          <w:rFonts w:ascii="Calibri" w:hAnsi="Calibri" w:cs="Calibri"/>
          <w:b/>
        </w:rPr>
      </w:pPr>
    </w:p>
    <w:p w14:paraId="1C3299CD" w14:textId="77777777" w:rsidR="002F201A" w:rsidRDefault="00E66089">
      <w:pPr>
        <w:rPr>
          <w:rFonts w:eastAsia="Times New Roman" w:cstheme="minorHAnsi"/>
        </w:rPr>
      </w:pPr>
      <w:r>
        <w:rPr>
          <w:rFonts w:eastAsia="Times New Roman" w:cstheme="minorHAnsi"/>
          <w:b/>
        </w:rPr>
        <w:t>11.</w:t>
      </w:r>
      <w:r w:rsidR="003C40F8">
        <w:rPr>
          <w:rFonts w:eastAsia="Times New Roman" w:cstheme="minorHAnsi"/>
          <w:b/>
        </w:rPr>
        <w:t xml:space="preserve">   </w:t>
      </w:r>
      <w:r>
        <w:rPr>
          <w:rFonts w:eastAsia="Times New Roman" w:cstheme="minorHAnsi"/>
          <w:b/>
        </w:rPr>
        <w:t>NCL Audit Committee Annual Report</w:t>
      </w:r>
      <w:r w:rsidR="002F201A">
        <w:rPr>
          <w:rFonts w:eastAsia="Times New Roman" w:cstheme="minorHAnsi"/>
          <w:b/>
        </w:rPr>
        <w:t xml:space="preserve">: </w:t>
      </w:r>
      <w:r w:rsidR="002F201A" w:rsidRPr="002F201A">
        <w:rPr>
          <w:rFonts w:eastAsia="Times New Roman" w:cstheme="minorHAnsi"/>
        </w:rPr>
        <w:t>The Board Secretary</w:t>
      </w:r>
      <w:r w:rsidR="002F201A">
        <w:rPr>
          <w:rFonts w:eastAsia="Times New Roman" w:cstheme="minorHAnsi"/>
          <w:b/>
        </w:rPr>
        <w:t xml:space="preserve"> </w:t>
      </w:r>
      <w:r w:rsidRPr="002F201A">
        <w:rPr>
          <w:rFonts w:eastAsia="Times New Roman" w:cstheme="minorHAnsi"/>
        </w:rPr>
        <w:tab/>
      </w:r>
      <w:r w:rsidR="002F201A" w:rsidRPr="002F201A">
        <w:rPr>
          <w:rFonts w:eastAsia="Times New Roman" w:cstheme="minorHAnsi"/>
        </w:rPr>
        <w:t>informed the Committee that this was in progress but could not be completed without the internal auditors Regional Assurance and Annual Reports and the final opinion of the external auditors.</w:t>
      </w:r>
    </w:p>
    <w:p w14:paraId="5C431D92" w14:textId="77777777" w:rsidR="003D54D7" w:rsidRDefault="00450DD5" w:rsidP="00533BE5">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1</w:t>
      </w:r>
      <w:r w:rsidR="00E66089">
        <w:rPr>
          <w:rFonts w:eastAsia="Times New Roman" w:cstheme="minorHAnsi"/>
          <w:b/>
        </w:rPr>
        <w:t>2</w:t>
      </w:r>
      <w:r>
        <w:rPr>
          <w:rFonts w:eastAsia="Times New Roman" w:cstheme="minorHAnsi"/>
          <w:b/>
        </w:rPr>
        <w:t>.</w:t>
      </w:r>
      <w:r>
        <w:rPr>
          <w:rFonts w:eastAsia="Times New Roman" w:cstheme="minorHAnsi"/>
          <w:b/>
        </w:rPr>
        <w:tab/>
      </w:r>
      <w:r w:rsidR="00743236">
        <w:rPr>
          <w:rFonts w:eastAsia="Times New Roman" w:cstheme="minorHAnsi"/>
          <w:b/>
        </w:rPr>
        <w:t>Regional Risk Register</w:t>
      </w:r>
      <w:r w:rsidR="00743236">
        <w:rPr>
          <w:rFonts w:eastAsia="Times New Roman" w:cstheme="minorHAnsi"/>
          <w:b/>
        </w:rPr>
        <w:tab/>
      </w:r>
      <w:r w:rsidR="00AB367D">
        <w:rPr>
          <w:rFonts w:eastAsia="Times New Roman" w:cstheme="minorHAnsi"/>
          <w:b/>
        </w:rPr>
        <w:t xml:space="preserve"> </w:t>
      </w:r>
    </w:p>
    <w:p w14:paraId="15D24A8D" w14:textId="77777777" w:rsidR="00743236" w:rsidRDefault="003D54D7" w:rsidP="00AB367D">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p>
    <w:p w14:paraId="3F82B4E7" w14:textId="77777777" w:rsidR="002F201A" w:rsidRDefault="007E7CD0" w:rsidP="002F201A">
      <w:pPr>
        <w:tabs>
          <w:tab w:val="left" w:pos="0"/>
          <w:tab w:val="left" w:pos="851"/>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1</w:t>
      </w:r>
      <w:r w:rsidR="00E66089">
        <w:rPr>
          <w:rFonts w:eastAsia="Times New Roman" w:cstheme="minorHAnsi"/>
          <w:b/>
        </w:rPr>
        <w:t>2</w:t>
      </w:r>
      <w:r>
        <w:rPr>
          <w:rFonts w:eastAsia="Times New Roman" w:cstheme="minorHAnsi"/>
          <w:b/>
        </w:rPr>
        <w:t>.1 Regional Risk Register</w:t>
      </w:r>
      <w:r w:rsidR="002F201A">
        <w:rPr>
          <w:rFonts w:eastAsia="Times New Roman" w:cstheme="minorHAnsi"/>
          <w:b/>
        </w:rPr>
        <w:t xml:space="preserve">: </w:t>
      </w:r>
    </w:p>
    <w:p w14:paraId="1462C5CE" w14:textId="77777777" w:rsidR="002F201A" w:rsidRDefault="002F201A" w:rsidP="002F201A">
      <w:pPr>
        <w:tabs>
          <w:tab w:val="left" w:pos="0"/>
          <w:tab w:val="left" w:pos="851"/>
          <w:tab w:val="num" w:pos="1134"/>
          <w:tab w:val="left" w:pos="7230"/>
          <w:tab w:val="left" w:pos="7938"/>
          <w:tab w:val="right" w:pos="8789"/>
        </w:tabs>
        <w:spacing w:after="0" w:line="240" w:lineRule="auto"/>
        <w:jc w:val="both"/>
        <w:rPr>
          <w:rFonts w:eastAsia="Times New Roman" w:cstheme="minorHAnsi"/>
        </w:rPr>
      </w:pPr>
    </w:p>
    <w:p w14:paraId="2C4B390B" w14:textId="77777777" w:rsidR="002F201A" w:rsidRDefault="002F201A" w:rsidP="002F201A">
      <w:pPr>
        <w:tabs>
          <w:tab w:val="left" w:pos="0"/>
          <w:tab w:val="left" w:pos="851"/>
          <w:tab w:val="num" w:pos="1134"/>
          <w:tab w:val="left" w:pos="7230"/>
          <w:tab w:val="left" w:pos="7938"/>
          <w:tab w:val="right" w:pos="8789"/>
        </w:tabs>
        <w:spacing w:after="0" w:line="240" w:lineRule="auto"/>
        <w:jc w:val="both"/>
        <w:rPr>
          <w:rFonts w:eastAsia="Times New Roman" w:cstheme="minorHAnsi"/>
        </w:rPr>
      </w:pPr>
      <w:r w:rsidRPr="002F201A">
        <w:rPr>
          <w:rFonts w:eastAsia="Times New Roman" w:cstheme="minorHAnsi"/>
        </w:rPr>
        <w:t xml:space="preserve">Matthew Smith presented the Regional Risk Report to the Committee and highlighted the following from the report: </w:t>
      </w:r>
      <w:r w:rsidR="007E7CD0" w:rsidRPr="002F201A">
        <w:rPr>
          <w:rFonts w:eastAsia="Times New Roman" w:cstheme="minorHAnsi"/>
        </w:rPr>
        <w:tab/>
      </w:r>
    </w:p>
    <w:p w14:paraId="5CD8203A" w14:textId="77777777" w:rsidR="002F201A" w:rsidRDefault="002F201A" w:rsidP="002F201A">
      <w:pPr>
        <w:tabs>
          <w:tab w:val="left" w:pos="0"/>
          <w:tab w:val="left" w:pos="851"/>
          <w:tab w:val="num" w:pos="1134"/>
          <w:tab w:val="left" w:pos="7230"/>
          <w:tab w:val="left" w:pos="7938"/>
          <w:tab w:val="right" w:pos="8789"/>
        </w:tabs>
        <w:spacing w:after="0" w:line="240" w:lineRule="auto"/>
        <w:jc w:val="both"/>
        <w:rPr>
          <w:rFonts w:eastAsia="Times New Roman" w:cstheme="minorHAnsi"/>
        </w:rPr>
      </w:pPr>
    </w:p>
    <w:p w14:paraId="6A594AFA" w14:textId="77777777" w:rsidR="00662C22" w:rsidRPr="00B27E67" w:rsidRDefault="002F201A" w:rsidP="00CF28E0">
      <w:pPr>
        <w:pStyle w:val="ListParagraph"/>
        <w:numPr>
          <w:ilvl w:val="0"/>
          <w:numId w:val="28"/>
        </w:numPr>
        <w:tabs>
          <w:tab w:val="left" w:pos="567"/>
        </w:tabs>
        <w:autoSpaceDE w:val="0"/>
        <w:autoSpaceDN w:val="0"/>
        <w:adjustRightInd w:val="0"/>
        <w:spacing w:after="0" w:line="240" w:lineRule="auto"/>
        <w:rPr>
          <w:rFonts w:cstheme="minorHAnsi"/>
          <w:bCs/>
        </w:rPr>
      </w:pPr>
      <w:r w:rsidRPr="00B27E67">
        <w:rPr>
          <w:rFonts w:cstheme="minorHAnsi"/>
          <w:bCs/>
        </w:rPr>
        <w:t xml:space="preserve">There </w:t>
      </w:r>
      <w:proofErr w:type="gramStart"/>
      <w:r w:rsidRPr="00B27E67">
        <w:rPr>
          <w:rFonts w:cstheme="minorHAnsi"/>
          <w:bCs/>
        </w:rPr>
        <w:t>are</w:t>
      </w:r>
      <w:proofErr w:type="gramEnd"/>
      <w:r w:rsidRPr="00B27E67">
        <w:rPr>
          <w:rFonts w:cstheme="minorHAnsi"/>
          <w:bCs/>
        </w:rPr>
        <w:t xml:space="preserve"> a total of 21 Strategic Risks logged as at </w:t>
      </w:r>
      <w:r w:rsidR="00662C22" w:rsidRPr="00B27E67">
        <w:rPr>
          <w:rFonts w:cstheme="minorHAnsi"/>
          <w:bCs/>
        </w:rPr>
        <w:t>Regional Risk Strategic Management Group (</w:t>
      </w:r>
      <w:r w:rsidRPr="00B27E67">
        <w:rPr>
          <w:rFonts w:cstheme="minorHAnsi"/>
          <w:bCs/>
        </w:rPr>
        <w:t>RSRMG</w:t>
      </w:r>
      <w:r w:rsidR="00662C22" w:rsidRPr="00B27E67">
        <w:rPr>
          <w:rFonts w:cstheme="minorHAnsi"/>
          <w:bCs/>
        </w:rPr>
        <w:t>)</w:t>
      </w:r>
      <w:r w:rsidRPr="00B27E67">
        <w:rPr>
          <w:rFonts w:cstheme="minorHAnsi"/>
          <w:bCs/>
        </w:rPr>
        <w:t xml:space="preserve"> on 21 November 2022.</w:t>
      </w:r>
      <w:r w:rsidR="00662C22" w:rsidRPr="00B27E67">
        <w:rPr>
          <w:rFonts w:cstheme="minorHAnsi"/>
          <w:bCs/>
        </w:rPr>
        <w:br w:type="page"/>
      </w:r>
    </w:p>
    <w:p w14:paraId="7E9E46F6" w14:textId="77777777" w:rsidR="002F201A" w:rsidRPr="00662C22" w:rsidRDefault="002F201A" w:rsidP="00662C22">
      <w:pPr>
        <w:autoSpaceDE w:val="0"/>
        <w:autoSpaceDN w:val="0"/>
        <w:adjustRightInd w:val="0"/>
        <w:spacing w:after="0" w:line="240" w:lineRule="auto"/>
        <w:ind w:left="45"/>
        <w:rPr>
          <w:rFonts w:cstheme="minorHAnsi"/>
          <w:bCs/>
        </w:rPr>
      </w:pPr>
    </w:p>
    <w:p w14:paraId="19154C06" w14:textId="77777777" w:rsidR="002F201A" w:rsidRDefault="002F201A" w:rsidP="00274135">
      <w:pPr>
        <w:pStyle w:val="ListParagraph"/>
        <w:numPr>
          <w:ilvl w:val="0"/>
          <w:numId w:val="28"/>
        </w:numPr>
        <w:autoSpaceDE w:val="0"/>
        <w:autoSpaceDN w:val="0"/>
        <w:adjustRightInd w:val="0"/>
        <w:spacing w:after="0" w:line="240" w:lineRule="auto"/>
        <w:rPr>
          <w:rFonts w:cstheme="minorHAnsi"/>
        </w:rPr>
      </w:pPr>
      <w:r w:rsidRPr="00662C22">
        <w:rPr>
          <w:rFonts w:cstheme="minorHAnsi"/>
          <w:b/>
          <w:bCs/>
        </w:rPr>
        <w:t>Risk Movements:</w:t>
      </w:r>
      <w:r w:rsidR="00662C22">
        <w:rPr>
          <w:rFonts w:cstheme="minorHAnsi"/>
          <w:b/>
          <w:bCs/>
        </w:rPr>
        <w:t xml:space="preserve"> </w:t>
      </w:r>
      <w:r w:rsidRPr="00662C22">
        <w:rPr>
          <w:rFonts w:cstheme="minorHAnsi"/>
        </w:rPr>
        <w:t>No change to 19 risks. Risk K ‐ Inability to maintain quality standards ‐ risk and residual risk score moved</w:t>
      </w:r>
      <w:r w:rsidR="00662C22">
        <w:rPr>
          <w:rFonts w:cstheme="minorHAnsi"/>
        </w:rPr>
        <w:t xml:space="preserve"> </w:t>
      </w:r>
      <w:r w:rsidRPr="00662C22">
        <w:rPr>
          <w:rFonts w:cstheme="minorHAnsi"/>
        </w:rPr>
        <w:t>down due to good progress being made in that area. New Risk X added ‐ Risk of Power/Data failure to</w:t>
      </w:r>
      <w:r w:rsidR="00662C22">
        <w:rPr>
          <w:rFonts w:cstheme="minorHAnsi"/>
        </w:rPr>
        <w:t xml:space="preserve"> </w:t>
      </w:r>
      <w:r w:rsidRPr="00662C22">
        <w:rPr>
          <w:rFonts w:cstheme="minorHAnsi"/>
        </w:rPr>
        <w:t>College buildings, student and staff homes due to energy rationing.</w:t>
      </w:r>
    </w:p>
    <w:p w14:paraId="61123102" w14:textId="77777777" w:rsidR="002F201A" w:rsidRPr="00662C22" w:rsidRDefault="002F201A" w:rsidP="00662C22">
      <w:pPr>
        <w:pStyle w:val="ListParagraph"/>
        <w:numPr>
          <w:ilvl w:val="0"/>
          <w:numId w:val="28"/>
        </w:numPr>
        <w:autoSpaceDE w:val="0"/>
        <w:autoSpaceDN w:val="0"/>
        <w:adjustRightInd w:val="0"/>
        <w:spacing w:after="0" w:line="240" w:lineRule="auto"/>
        <w:ind w:left="709" w:hanging="283"/>
        <w:rPr>
          <w:rFonts w:cstheme="minorHAnsi"/>
          <w:b/>
          <w:bCs/>
        </w:rPr>
      </w:pPr>
      <w:r w:rsidRPr="00662C22">
        <w:rPr>
          <w:rFonts w:cstheme="minorHAnsi"/>
          <w:b/>
          <w:bCs/>
        </w:rPr>
        <w:t>Six risks are above the committee's threshold level and therefore are subject to Control Action Planning.</w:t>
      </w:r>
      <w:r w:rsidR="00662C22">
        <w:rPr>
          <w:rFonts w:cstheme="minorHAnsi"/>
          <w:b/>
          <w:bCs/>
        </w:rPr>
        <w:t xml:space="preserve"> </w:t>
      </w:r>
      <w:r w:rsidRPr="00662C22">
        <w:rPr>
          <w:rFonts w:cstheme="minorHAnsi"/>
          <w:b/>
          <w:bCs/>
        </w:rPr>
        <w:t>These are:</w:t>
      </w:r>
    </w:p>
    <w:p w14:paraId="11EF07B9" w14:textId="77777777" w:rsidR="002F201A" w:rsidRPr="002F201A" w:rsidRDefault="002F201A" w:rsidP="00662C22">
      <w:pPr>
        <w:autoSpaceDE w:val="0"/>
        <w:autoSpaceDN w:val="0"/>
        <w:adjustRightInd w:val="0"/>
        <w:spacing w:after="0" w:line="240" w:lineRule="auto"/>
        <w:ind w:left="709"/>
        <w:rPr>
          <w:rFonts w:cstheme="minorHAnsi"/>
        </w:rPr>
      </w:pPr>
      <w:r w:rsidRPr="002F201A">
        <w:rPr>
          <w:rFonts w:cstheme="minorHAnsi"/>
          <w:b/>
          <w:bCs/>
        </w:rPr>
        <w:t xml:space="preserve">a) </w:t>
      </w:r>
      <w:r w:rsidRPr="002F201A">
        <w:rPr>
          <w:rFonts w:cstheme="minorHAnsi"/>
        </w:rPr>
        <w:t>Financial: "A" Unable to maintain operating budget while delivering high quality, relevant and</w:t>
      </w:r>
    </w:p>
    <w:p w14:paraId="1A081090" w14:textId="77777777" w:rsidR="002F201A" w:rsidRPr="002F201A" w:rsidRDefault="002F201A" w:rsidP="00662C22">
      <w:pPr>
        <w:autoSpaceDE w:val="0"/>
        <w:autoSpaceDN w:val="0"/>
        <w:adjustRightInd w:val="0"/>
        <w:spacing w:after="0" w:line="240" w:lineRule="auto"/>
        <w:ind w:left="709"/>
        <w:rPr>
          <w:rFonts w:cstheme="minorHAnsi"/>
        </w:rPr>
      </w:pPr>
      <w:r w:rsidRPr="002F201A">
        <w:rPr>
          <w:rFonts w:cstheme="minorHAnsi"/>
        </w:rPr>
        <w:t>responsive education ‐ very high (Above Amber [high] threshold</w:t>
      </w:r>
    </w:p>
    <w:p w14:paraId="42701B4F" w14:textId="77777777" w:rsidR="002F201A" w:rsidRPr="002F201A" w:rsidRDefault="002F201A" w:rsidP="00662C22">
      <w:pPr>
        <w:autoSpaceDE w:val="0"/>
        <w:autoSpaceDN w:val="0"/>
        <w:adjustRightInd w:val="0"/>
        <w:spacing w:after="0" w:line="240" w:lineRule="auto"/>
        <w:ind w:left="709"/>
        <w:rPr>
          <w:rFonts w:cstheme="minorHAnsi"/>
        </w:rPr>
      </w:pPr>
      <w:r w:rsidRPr="002F201A">
        <w:rPr>
          <w:rFonts w:cstheme="minorHAnsi"/>
          <w:b/>
          <w:bCs/>
        </w:rPr>
        <w:t xml:space="preserve">b) </w:t>
      </w:r>
      <w:r w:rsidRPr="002F201A">
        <w:rPr>
          <w:rFonts w:cstheme="minorHAnsi"/>
        </w:rPr>
        <w:t>Financial: "D" Inability to secure appropriate levels of funding to respond to operational and strategic</w:t>
      </w:r>
    </w:p>
    <w:p w14:paraId="61D48BF9" w14:textId="77777777" w:rsidR="002F201A" w:rsidRPr="002F201A" w:rsidRDefault="002F201A" w:rsidP="00662C22">
      <w:pPr>
        <w:autoSpaceDE w:val="0"/>
        <w:autoSpaceDN w:val="0"/>
        <w:adjustRightInd w:val="0"/>
        <w:spacing w:after="0" w:line="240" w:lineRule="auto"/>
        <w:ind w:left="709"/>
        <w:rPr>
          <w:rFonts w:cstheme="minorHAnsi"/>
        </w:rPr>
      </w:pPr>
      <w:r w:rsidRPr="002F201A">
        <w:rPr>
          <w:rFonts w:cstheme="minorHAnsi"/>
        </w:rPr>
        <w:t>priorities ‐ very high (Above Amber [high] threshold)</w:t>
      </w:r>
    </w:p>
    <w:p w14:paraId="320ACD56" w14:textId="77777777" w:rsidR="002F201A" w:rsidRPr="002F201A" w:rsidRDefault="002F201A" w:rsidP="00662C22">
      <w:pPr>
        <w:autoSpaceDE w:val="0"/>
        <w:autoSpaceDN w:val="0"/>
        <w:adjustRightInd w:val="0"/>
        <w:spacing w:after="0" w:line="240" w:lineRule="auto"/>
        <w:ind w:left="709"/>
        <w:rPr>
          <w:rFonts w:cstheme="minorHAnsi"/>
        </w:rPr>
      </w:pPr>
      <w:r w:rsidRPr="002F201A">
        <w:rPr>
          <w:rFonts w:cstheme="minorHAnsi"/>
          <w:b/>
          <w:bCs/>
        </w:rPr>
        <w:t xml:space="preserve">c) </w:t>
      </w:r>
      <w:r w:rsidRPr="002F201A">
        <w:rPr>
          <w:rFonts w:cstheme="minorHAnsi"/>
        </w:rPr>
        <w:t>Productivity: "H" Unable to deliver SFC Credits Targets ‐ high (Amber [high] threshold)</w:t>
      </w:r>
    </w:p>
    <w:p w14:paraId="63743C13" w14:textId="77777777" w:rsidR="002F201A" w:rsidRPr="002F201A" w:rsidRDefault="002F201A" w:rsidP="00662C22">
      <w:pPr>
        <w:autoSpaceDE w:val="0"/>
        <w:autoSpaceDN w:val="0"/>
        <w:adjustRightInd w:val="0"/>
        <w:spacing w:after="0" w:line="240" w:lineRule="auto"/>
        <w:ind w:left="709"/>
        <w:rPr>
          <w:rFonts w:cstheme="minorHAnsi"/>
        </w:rPr>
      </w:pPr>
      <w:r w:rsidRPr="002F201A">
        <w:rPr>
          <w:rFonts w:cstheme="minorHAnsi"/>
          <w:b/>
          <w:bCs/>
        </w:rPr>
        <w:t xml:space="preserve">d) </w:t>
      </w:r>
      <w:r w:rsidRPr="002F201A">
        <w:rPr>
          <w:rFonts w:cstheme="minorHAnsi"/>
        </w:rPr>
        <w:t>Student Experience: "L" Failure to improve student retention and achievement ‐ medium (Yellow</w:t>
      </w:r>
    </w:p>
    <w:p w14:paraId="7D318AF4" w14:textId="77777777" w:rsidR="002F201A" w:rsidRPr="002F201A" w:rsidRDefault="002F201A" w:rsidP="00662C22">
      <w:pPr>
        <w:autoSpaceDE w:val="0"/>
        <w:autoSpaceDN w:val="0"/>
        <w:adjustRightInd w:val="0"/>
        <w:spacing w:after="0" w:line="240" w:lineRule="auto"/>
        <w:ind w:left="709"/>
        <w:rPr>
          <w:rFonts w:cstheme="minorHAnsi"/>
        </w:rPr>
      </w:pPr>
      <w:r w:rsidRPr="002F201A">
        <w:rPr>
          <w:rFonts w:cstheme="minorHAnsi"/>
        </w:rPr>
        <w:t>[medium] threshold)</w:t>
      </w:r>
    </w:p>
    <w:p w14:paraId="70AC9B9D" w14:textId="77777777" w:rsidR="002F201A" w:rsidRPr="002F201A" w:rsidRDefault="002F201A" w:rsidP="00662C22">
      <w:pPr>
        <w:autoSpaceDE w:val="0"/>
        <w:autoSpaceDN w:val="0"/>
        <w:adjustRightInd w:val="0"/>
        <w:spacing w:after="0" w:line="240" w:lineRule="auto"/>
        <w:ind w:left="709"/>
        <w:rPr>
          <w:rFonts w:cstheme="minorHAnsi"/>
        </w:rPr>
      </w:pPr>
      <w:r w:rsidRPr="002F201A">
        <w:rPr>
          <w:rFonts w:cstheme="minorHAnsi"/>
          <w:b/>
          <w:bCs/>
        </w:rPr>
        <w:t xml:space="preserve">e) </w:t>
      </w:r>
      <w:r w:rsidRPr="002F201A">
        <w:rPr>
          <w:rFonts w:cstheme="minorHAnsi"/>
        </w:rPr>
        <w:t>Governance: "J" Failure to establish and implement an effective regional governance model ‐ medium</w:t>
      </w:r>
    </w:p>
    <w:p w14:paraId="28DAC24F" w14:textId="77777777" w:rsidR="002F201A" w:rsidRPr="002F201A" w:rsidRDefault="002F201A" w:rsidP="00662C22">
      <w:pPr>
        <w:autoSpaceDE w:val="0"/>
        <w:autoSpaceDN w:val="0"/>
        <w:adjustRightInd w:val="0"/>
        <w:spacing w:after="0" w:line="240" w:lineRule="auto"/>
        <w:ind w:left="709"/>
        <w:rPr>
          <w:rFonts w:cstheme="minorHAnsi"/>
        </w:rPr>
      </w:pPr>
      <w:r w:rsidRPr="002F201A">
        <w:rPr>
          <w:rFonts w:cstheme="minorHAnsi"/>
        </w:rPr>
        <w:t>(Above Green [low] threshold)</w:t>
      </w:r>
    </w:p>
    <w:p w14:paraId="6B5D164E" w14:textId="77777777" w:rsidR="002F201A" w:rsidRPr="002F201A" w:rsidRDefault="002F201A" w:rsidP="00662C22">
      <w:pPr>
        <w:autoSpaceDE w:val="0"/>
        <w:autoSpaceDN w:val="0"/>
        <w:adjustRightInd w:val="0"/>
        <w:spacing w:after="0" w:line="240" w:lineRule="auto"/>
        <w:ind w:left="709"/>
        <w:rPr>
          <w:rFonts w:cstheme="minorHAnsi"/>
        </w:rPr>
      </w:pPr>
      <w:r w:rsidRPr="002F201A">
        <w:rPr>
          <w:rFonts w:cstheme="minorHAnsi"/>
          <w:b/>
          <w:bCs/>
        </w:rPr>
        <w:t xml:space="preserve">f) </w:t>
      </w:r>
      <w:r w:rsidRPr="002F201A">
        <w:rPr>
          <w:rFonts w:cstheme="minorHAnsi"/>
        </w:rPr>
        <w:t xml:space="preserve">Compliance: "V" Failure to hold and manage personal data appropriately in </w:t>
      </w:r>
      <w:proofErr w:type="spellStart"/>
      <w:r w:rsidRPr="002F201A">
        <w:rPr>
          <w:rFonts w:cstheme="minorHAnsi"/>
        </w:rPr>
        <w:t>complaince</w:t>
      </w:r>
      <w:proofErr w:type="spellEnd"/>
      <w:r w:rsidRPr="002F201A">
        <w:rPr>
          <w:rFonts w:cstheme="minorHAnsi"/>
        </w:rPr>
        <w:t xml:space="preserve"> with the</w:t>
      </w:r>
    </w:p>
    <w:p w14:paraId="6D2DA4B8" w14:textId="77777777" w:rsidR="002F201A" w:rsidRPr="002F201A" w:rsidRDefault="002F201A" w:rsidP="00662C22">
      <w:pPr>
        <w:autoSpaceDE w:val="0"/>
        <w:autoSpaceDN w:val="0"/>
        <w:adjustRightInd w:val="0"/>
        <w:spacing w:after="0" w:line="240" w:lineRule="auto"/>
        <w:ind w:left="709"/>
        <w:rPr>
          <w:rFonts w:cstheme="minorHAnsi"/>
        </w:rPr>
      </w:pPr>
      <w:r w:rsidRPr="002F201A">
        <w:rPr>
          <w:rFonts w:cstheme="minorHAnsi"/>
        </w:rPr>
        <w:t>requirements of the General Data Protection Regulations (GDPR) ‐ low (Green [low] threshold</w:t>
      </w:r>
    </w:p>
    <w:p w14:paraId="0B1526C0" w14:textId="77777777" w:rsidR="002F201A" w:rsidRPr="00662C22" w:rsidRDefault="002F201A" w:rsidP="00560C3E">
      <w:pPr>
        <w:pStyle w:val="ListParagraph"/>
        <w:numPr>
          <w:ilvl w:val="0"/>
          <w:numId w:val="28"/>
        </w:numPr>
        <w:autoSpaceDE w:val="0"/>
        <w:autoSpaceDN w:val="0"/>
        <w:adjustRightInd w:val="0"/>
        <w:spacing w:after="0" w:line="240" w:lineRule="auto"/>
        <w:rPr>
          <w:rFonts w:cstheme="minorHAnsi"/>
        </w:rPr>
      </w:pPr>
      <w:r w:rsidRPr="00662C22">
        <w:rPr>
          <w:rFonts w:cstheme="minorHAnsi"/>
          <w:b/>
          <w:bCs/>
        </w:rPr>
        <w:t>Escalation of Risks</w:t>
      </w:r>
      <w:r w:rsidR="00662C22" w:rsidRPr="00662C22">
        <w:rPr>
          <w:rFonts w:cstheme="minorHAnsi"/>
          <w:b/>
          <w:bCs/>
        </w:rPr>
        <w:t>:</w:t>
      </w:r>
      <w:r w:rsidR="00662C22">
        <w:rPr>
          <w:rFonts w:cstheme="minorHAnsi"/>
          <w:b/>
          <w:bCs/>
        </w:rPr>
        <w:t xml:space="preserve"> </w:t>
      </w:r>
      <w:r w:rsidRPr="00662C22">
        <w:rPr>
          <w:rFonts w:cstheme="minorHAnsi"/>
        </w:rPr>
        <w:t>Estates ‐ increasing cost of gas and electricity.</w:t>
      </w:r>
    </w:p>
    <w:p w14:paraId="457C49A0" w14:textId="77777777" w:rsidR="002F201A" w:rsidRPr="00662C22" w:rsidRDefault="002F201A" w:rsidP="00FA1225">
      <w:pPr>
        <w:pStyle w:val="ListParagraph"/>
        <w:numPr>
          <w:ilvl w:val="0"/>
          <w:numId w:val="28"/>
        </w:numPr>
        <w:autoSpaceDE w:val="0"/>
        <w:autoSpaceDN w:val="0"/>
        <w:adjustRightInd w:val="0"/>
        <w:spacing w:after="0" w:line="240" w:lineRule="auto"/>
        <w:rPr>
          <w:rFonts w:cstheme="minorHAnsi"/>
        </w:rPr>
      </w:pPr>
      <w:r w:rsidRPr="00662C22">
        <w:rPr>
          <w:rFonts w:cstheme="minorHAnsi"/>
          <w:b/>
          <w:bCs/>
        </w:rPr>
        <w:t>Under observation / analysis</w:t>
      </w:r>
      <w:r w:rsidR="00662C22" w:rsidRPr="00662C22">
        <w:rPr>
          <w:rFonts w:cstheme="minorHAnsi"/>
          <w:b/>
          <w:bCs/>
        </w:rPr>
        <w:t xml:space="preserve">: </w:t>
      </w:r>
      <w:r w:rsidRPr="00662C22">
        <w:rPr>
          <w:rFonts w:cstheme="minorHAnsi"/>
        </w:rPr>
        <w:t>a) Global Supply Chain Issues (including Brexit).</w:t>
      </w:r>
    </w:p>
    <w:p w14:paraId="4C21499A" w14:textId="77777777" w:rsidR="002F201A" w:rsidRPr="00662C22" w:rsidRDefault="002F201A" w:rsidP="00A10FC2">
      <w:pPr>
        <w:pStyle w:val="ListParagraph"/>
        <w:numPr>
          <w:ilvl w:val="0"/>
          <w:numId w:val="28"/>
        </w:numPr>
        <w:tabs>
          <w:tab w:val="left" w:pos="0"/>
          <w:tab w:val="left" w:pos="851"/>
          <w:tab w:val="num" w:pos="1134"/>
          <w:tab w:val="left" w:pos="7230"/>
          <w:tab w:val="left" w:pos="7938"/>
          <w:tab w:val="right" w:pos="8789"/>
        </w:tabs>
        <w:autoSpaceDE w:val="0"/>
        <w:autoSpaceDN w:val="0"/>
        <w:adjustRightInd w:val="0"/>
        <w:spacing w:after="0" w:line="240" w:lineRule="auto"/>
        <w:jc w:val="both"/>
        <w:rPr>
          <w:rFonts w:eastAsia="Times New Roman" w:cstheme="minorHAnsi"/>
        </w:rPr>
      </w:pPr>
      <w:r w:rsidRPr="00662C22">
        <w:rPr>
          <w:rFonts w:cstheme="minorHAnsi"/>
          <w:b/>
          <w:bCs/>
        </w:rPr>
        <w:t>Regional Business Plan Risk Register</w:t>
      </w:r>
      <w:r w:rsidR="00662C22" w:rsidRPr="00662C22">
        <w:rPr>
          <w:rFonts w:cstheme="minorHAnsi"/>
          <w:b/>
          <w:bCs/>
        </w:rPr>
        <w:t xml:space="preserve">: </w:t>
      </w:r>
      <w:r w:rsidRPr="00662C22">
        <w:rPr>
          <w:rFonts w:cstheme="minorHAnsi"/>
        </w:rPr>
        <w:t>a) There are a total of 10 risks logged</w:t>
      </w:r>
      <w:r w:rsidR="00662C22">
        <w:rPr>
          <w:rFonts w:cstheme="minorHAnsi"/>
        </w:rPr>
        <w:t xml:space="preserve"> </w:t>
      </w:r>
      <w:r w:rsidRPr="00662C22">
        <w:rPr>
          <w:rFonts w:cstheme="minorHAnsi"/>
        </w:rPr>
        <w:t>b) There are no risk movements.</w:t>
      </w:r>
    </w:p>
    <w:p w14:paraId="341187EA" w14:textId="77777777" w:rsidR="002F201A" w:rsidRDefault="002F201A" w:rsidP="002F201A">
      <w:pPr>
        <w:tabs>
          <w:tab w:val="left" w:pos="0"/>
          <w:tab w:val="left" w:pos="851"/>
          <w:tab w:val="num" w:pos="1134"/>
          <w:tab w:val="left" w:pos="7230"/>
          <w:tab w:val="left" w:pos="7938"/>
          <w:tab w:val="right" w:pos="8789"/>
        </w:tabs>
        <w:spacing w:after="0" w:line="240" w:lineRule="auto"/>
        <w:jc w:val="both"/>
        <w:rPr>
          <w:rFonts w:eastAsia="Times New Roman" w:cstheme="minorHAnsi"/>
        </w:rPr>
      </w:pPr>
    </w:p>
    <w:p w14:paraId="1F97F639" w14:textId="77777777" w:rsidR="00662C22" w:rsidRDefault="007E7CD0" w:rsidP="00662C22">
      <w:pPr>
        <w:autoSpaceDE w:val="0"/>
        <w:autoSpaceDN w:val="0"/>
        <w:adjustRightInd w:val="0"/>
        <w:spacing w:after="0" w:line="240" w:lineRule="auto"/>
        <w:rPr>
          <w:rFonts w:cstheme="minorHAnsi"/>
        </w:rPr>
      </w:pPr>
      <w:r>
        <w:rPr>
          <w:rFonts w:eastAsia="Times New Roman" w:cstheme="minorHAnsi"/>
          <w:b/>
        </w:rPr>
        <w:t>1</w:t>
      </w:r>
      <w:r w:rsidR="00E66089">
        <w:rPr>
          <w:rFonts w:eastAsia="Times New Roman" w:cstheme="minorHAnsi"/>
          <w:b/>
        </w:rPr>
        <w:t>2</w:t>
      </w:r>
      <w:r>
        <w:rPr>
          <w:rFonts w:eastAsia="Times New Roman" w:cstheme="minorHAnsi"/>
          <w:b/>
        </w:rPr>
        <w:t>.2 SLC Risk Register</w:t>
      </w:r>
      <w:r w:rsidR="00662C22">
        <w:rPr>
          <w:rFonts w:eastAsia="Times New Roman" w:cstheme="minorHAnsi"/>
          <w:b/>
        </w:rPr>
        <w:t xml:space="preserve">: The </w:t>
      </w:r>
      <w:r w:rsidR="00662C22" w:rsidRPr="002F201A">
        <w:rPr>
          <w:rFonts w:cstheme="minorHAnsi"/>
          <w:b/>
          <w:bCs/>
        </w:rPr>
        <w:t>SLC Risk register is attached</w:t>
      </w:r>
      <w:r w:rsidR="00662C22">
        <w:rPr>
          <w:rFonts w:cstheme="minorHAnsi"/>
          <w:b/>
          <w:bCs/>
        </w:rPr>
        <w:t xml:space="preserve">. </w:t>
      </w:r>
      <w:r w:rsidR="00662C22" w:rsidRPr="002F201A">
        <w:rPr>
          <w:rFonts w:cstheme="minorHAnsi"/>
        </w:rPr>
        <w:t xml:space="preserve">There </w:t>
      </w:r>
      <w:proofErr w:type="gramStart"/>
      <w:r w:rsidR="00662C22" w:rsidRPr="002F201A">
        <w:rPr>
          <w:rFonts w:cstheme="minorHAnsi"/>
        </w:rPr>
        <w:t>are</w:t>
      </w:r>
      <w:proofErr w:type="gramEnd"/>
      <w:r w:rsidR="00662C22" w:rsidRPr="002F201A">
        <w:rPr>
          <w:rFonts w:cstheme="minorHAnsi"/>
        </w:rPr>
        <w:t xml:space="preserve"> a total of 13 risks logged.</w:t>
      </w:r>
      <w:r w:rsidR="00523A73">
        <w:rPr>
          <w:rFonts w:cstheme="minorHAnsi"/>
        </w:rPr>
        <w:t xml:space="preserve"> </w:t>
      </w:r>
      <w:r w:rsidR="00662C22" w:rsidRPr="002F201A">
        <w:rPr>
          <w:rFonts w:cstheme="minorHAnsi"/>
        </w:rPr>
        <w:t>One risk moves up. One risk moves down. Eleven risks remain the same.</w:t>
      </w:r>
    </w:p>
    <w:p w14:paraId="23CDB6DC" w14:textId="77777777" w:rsidR="00662C22" w:rsidRDefault="00662C22" w:rsidP="00662C22">
      <w:pPr>
        <w:autoSpaceDE w:val="0"/>
        <w:autoSpaceDN w:val="0"/>
        <w:adjustRightInd w:val="0"/>
        <w:spacing w:after="0" w:line="240" w:lineRule="auto"/>
        <w:rPr>
          <w:rFonts w:cstheme="minorHAnsi"/>
        </w:rPr>
      </w:pPr>
    </w:p>
    <w:p w14:paraId="25ECDAB5" w14:textId="77777777" w:rsidR="00662C22" w:rsidRPr="002F201A" w:rsidRDefault="00662C22" w:rsidP="00662C22">
      <w:pPr>
        <w:autoSpaceDE w:val="0"/>
        <w:autoSpaceDN w:val="0"/>
        <w:adjustRightInd w:val="0"/>
        <w:spacing w:after="0" w:line="240" w:lineRule="auto"/>
        <w:rPr>
          <w:rFonts w:cstheme="minorHAnsi"/>
        </w:rPr>
      </w:pPr>
      <w:r w:rsidRPr="00662C22">
        <w:rPr>
          <w:rFonts w:cstheme="minorHAnsi"/>
          <w:b/>
        </w:rPr>
        <w:t>12.3</w:t>
      </w:r>
      <w:r>
        <w:rPr>
          <w:rFonts w:cstheme="minorHAnsi"/>
        </w:rPr>
        <w:t xml:space="preserve"> The Arc noted the Regional Risk Report.</w:t>
      </w:r>
    </w:p>
    <w:p w14:paraId="0A8F21DB" w14:textId="77777777" w:rsidR="007E7CD0" w:rsidRDefault="007E7CD0" w:rsidP="003F3F29">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ab/>
      </w:r>
      <w:r>
        <w:rPr>
          <w:rFonts w:eastAsia="Times New Roman" w:cstheme="minorHAnsi"/>
          <w:b/>
        </w:rPr>
        <w:tab/>
      </w:r>
      <w:r w:rsidR="00D13169">
        <w:rPr>
          <w:rFonts w:eastAsia="Times New Roman" w:cstheme="minorHAnsi"/>
          <w:b/>
        </w:rPr>
        <w:tab/>
      </w:r>
    </w:p>
    <w:p w14:paraId="301288B4" w14:textId="77777777" w:rsidR="00662C22" w:rsidRDefault="00607341" w:rsidP="00A33ACD">
      <w:pPr>
        <w:tabs>
          <w:tab w:val="left" w:pos="567"/>
          <w:tab w:val="left" w:pos="851"/>
        </w:tabs>
        <w:spacing w:after="0" w:line="240" w:lineRule="auto"/>
        <w:rPr>
          <w:rFonts w:eastAsia="Times New Roman" w:cstheme="minorHAnsi"/>
          <w:b/>
        </w:rPr>
      </w:pPr>
      <w:r w:rsidRPr="00607341">
        <w:rPr>
          <w:rFonts w:eastAsia="Times New Roman" w:cstheme="minorHAnsi"/>
          <w:b/>
        </w:rPr>
        <w:t>1</w:t>
      </w:r>
      <w:r w:rsidR="00E66089">
        <w:rPr>
          <w:rFonts w:eastAsia="Times New Roman" w:cstheme="minorHAnsi"/>
          <w:b/>
        </w:rPr>
        <w:t>3</w:t>
      </w:r>
      <w:r w:rsidR="007E7CD0">
        <w:rPr>
          <w:rFonts w:eastAsia="Times New Roman" w:cstheme="minorHAnsi"/>
          <w:b/>
        </w:rPr>
        <w:t>.</w:t>
      </w:r>
      <w:r>
        <w:rPr>
          <w:rFonts w:eastAsia="Times New Roman" w:cstheme="minorHAnsi"/>
          <w:b/>
        </w:rPr>
        <w:tab/>
        <w:t>Horizon Scanning - Future Issues and Opportunities</w:t>
      </w:r>
      <w:r w:rsidR="00662C22">
        <w:rPr>
          <w:rFonts w:eastAsia="Times New Roman" w:cstheme="minorHAnsi"/>
          <w:b/>
        </w:rPr>
        <w:t>.</w:t>
      </w:r>
    </w:p>
    <w:p w14:paraId="5213396E" w14:textId="77777777" w:rsidR="00662C22" w:rsidRDefault="00662C22" w:rsidP="00A33ACD">
      <w:pPr>
        <w:tabs>
          <w:tab w:val="left" w:pos="567"/>
          <w:tab w:val="left" w:pos="851"/>
        </w:tabs>
        <w:spacing w:after="0" w:line="240" w:lineRule="auto"/>
        <w:rPr>
          <w:rFonts w:eastAsia="Times New Roman" w:cstheme="minorHAnsi"/>
          <w:b/>
        </w:rPr>
      </w:pPr>
    </w:p>
    <w:p w14:paraId="468F1B36" w14:textId="77777777" w:rsidR="00607341" w:rsidRPr="003001F8" w:rsidRDefault="00662C22" w:rsidP="00A33ACD">
      <w:pPr>
        <w:tabs>
          <w:tab w:val="left" w:pos="567"/>
          <w:tab w:val="left" w:pos="851"/>
        </w:tabs>
        <w:spacing w:after="0" w:line="240" w:lineRule="auto"/>
        <w:rPr>
          <w:rFonts w:eastAsia="Times New Roman" w:cstheme="minorHAnsi"/>
          <w:b/>
        </w:rPr>
      </w:pPr>
      <w:r>
        <w:rPr>
          <w:rFonts w:eastAsia="Times New Roman" w:cstheme="minorHAnsi"/>
          <w:b/>
        </w:rPr>
        <w:t xml:space="preserve">13.1 </w:t>
      </w:r>
      <w:r w:rsidRPr="00523A73">
        <w:rPr>
          <w:rFonts w:eastAsia="Times New Roman" w:cstheme="minorHAnsi"/>
        </w:rPr>
        <w:t xml:space="preserve">Christopher Moore highlighted the need to keep strategic focus with everything that is currently going on. Iain Clark highlighted that the Scottish Government will </w:t>
      </w:r>
      <w:r w:rsidR="00523A73" w:rsidRPr="00523A73">
        <w:rPr>
          <w:rFonts w:eastAsia="Times New Roman" w:cstheme="minorHAnsi"/>
        </w:rPr>
        <w:t>publish it</w:t>
      </w:r>
      <w:r w:rsidR="00395403">
        <w:rPr>
          <w:rFonts w:eastAsia="Times New Roman" w:cstheme="minorHAnsi"/>
        </w:rPr>
        <w:t>s</w:t>
      </w:r>
      <w:r w:rsidR="00523A73" w:rsidRPr="00523A73">
        <w:rPr>
          <w:rFonts w:eastAsia="Times New Roman" w:cstheme="minorHAnsi"/>
        </w:rPr>
        <w:t xml:space="preserve"> draft budget on the 15</w:t>
      </w:r>
      <w:r w:rsidR="00523A73" w:rsidRPr="00523A73">
        <w:rPr>
          <w:rFonts w:eastAsia="Times New Roman" w:cstheme="minorHAnsi"/>
          <w:vertAlign w:val="superscript"/>
        </w:rPr>
        <w:t>th</w:t>
      </w:r>
      <w:r w:rsidR="00523A73" w:rsidRPr="00523A73">
        <w:rPr>
          <w:rFonts w:eastAsia="Times New Roman" w:cstheme="minorHAnsi"/>
        </w:rPr>
        <w:t xml:space="preserve"> December 2022 which is likely to be very challenging for the college sector along with other public bodies in Scotland. Ann Baxter highlighted savings that could be made in the Nat</w:t>
      </w:r>
      <w:r w:rsidR="00395403">
        <w:rPr>
          <w:rFonts w:eastAsia="Times New Roman" w:cstheme="minorHAnsi"/>
        </w:rPr>
        <w:t>i</w:t>
      </w:r>
      <w:r w:rsidR="00523A73" w:rsidRPr="00523A73">
        <w:rPr>
          <w:rFonts w:eastAsia="Times New Roman" w:cstheme="minorHAnsi"/>
        </w:rPr>
        <w:t>onal Insurance projections given the UK Government</w:t>
      </w:r>
      <w:r w:rsidR="00523A73">
        <w:rPr>
          <w:rFonts w:eastAsia="Times New Roman" w:cstheme="minorHAnsi"/>
        </w:rPr>
        <w:t>’</w:t>
      </w:r>
      <w:r w:rsidR="00523A73" w:rsidRPr="00523A73">
        <w:rPr>
          <w:rFonts w:eastAsia="Times New Roman" w:cstheme="minorHAnsi"/>
        </w:rPr>
        <w:t>s withdrawal of the proposed NI increases.</w:t>
      </w:r>
      <w:r w:rsidR="00607341" w:rsidRPr="00523A73">
        <w:rPr>
          <w:rFonts w:eastAsia="Times New Roman" w:cstheme="minorHAnsi"/>
        </w:rPr>
        <w:tab/>
      </w:r>
      <w:r w:rsidR="00607341">
        <w:rPr>
          <w:rFonts w:eastAsia="Times New Roman" w:cstheme="minorHAnsi"/>
          <w:b/>
        </w:rPr>
        <w:tab/>
        <w:t xml:space="preserve"> </w:t>
      </w:r>
    </w:p>
    <w:p w14:paraId="7B13AFD2" w14:textId="77777777" w:rsidR="00603E25" w:rsidRDefault="00603E25" w:rsidP="00A33ACD">
      <w:pPr>
        <w:tabs>
          <w:tab w:val="left" w:pos="567"/>
          <w:tab w:val="left" w:pos="851"/>
        </w:tabs>
        <w:spacing w:after="0" w:line="240" w:lineRule="auto"/>
        <w:rPr>
          <w:rFonts w:eastAsia="Times New Roman" w:cstheme="minorHAnsi"/>
          <w:b/>
        </w:rPr>
      </w:pPr>
    </w:p>
    <w:p w14:paraId="3D4CF6E3" w14:textId="77777777" w:rsidR="00523A73" w:rsidRDefault="00DD0D59" w:rsidP="003C40F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1</w:t>
      </w:r>
      <w:r w:rsidR="00E66089">
        <w:rPr>
          <w:rFonts w:eastAsia="Times New Roman" w:cstheme="minorHAnsi"/>
          <w:b/>
        </w:rPr>
        <w:t>4</w:t>
      </w:r>
      <w:r w:rsidR="007E7CD0">
        <w:rPr>
          <w:rFonts w:eastAsia="Times New Roman" w:cstheme="minorHAnsi"/>
          <w:b/>
        </w:rPr>
        <w:t>.</w:t>
      </w:r>
      <w:r>
        <w:rPr>
          <w:rFonts w:eastAsia="Times New Roman" w:cstheme="minorHAnsi"/>
          <w:b/>
        </w:rPr>
        <w:t xml:space="preserve"> </w:t>
      </w:r>
      <w:r>
        <w:rPr>
          <w:rFonts w:eastAsia="Times New Roman" w:cstheme="minorHAnsi"/>
          <w:b/>
        </w:rPr>
        <w:tab/>
      </w:r>
      <w:r w:rsidR="00F425BB">
        <w:rPr>
          <w:rFonts w:eastAsia="Times New Roman" w:cstheme="minorHAnsi"/>
          <w:b/>
        </w:rPr>
        <w:t>Internal Audit Reports</w:t>
      </w:r>
    </w:p>
    <w:p w14:paraId="4CA83602" w14:textId="77777777" w:rsidR="00523A73" w:rsidRDefault="00523A73" w:rsidP="003C40F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6C2CD8DE" w14:textId="77777777" w:rsidR="001906AD" w:rsidRDefault="00523A73" w:rsidP="003C40F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 xml:space="preserve">Stephen Pringle presented the internal audit reports as follows: </w:t>
      </w:r>
      <w:r w:rsidR="00F425BB">
        <w:rPr>
          <w:rFonts w:eastAsia="Times New Roman" w:cstheme="minorHAnsi"/>
          <w:b/>
        </w:rPr>
        <w:tab/>
      </w:r>
    </w:p>
    <w:p w14:paraId="0F88BD4E" w14:textId="77777777" w:rsidR="003C40F8" w:rsidRDefault="003C40F8" w:rsidP="003C40F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0BD3082B" w14:textId="77777777" w:rsidR="00523A73" w:rsidRDefault="001906AD" w:rsidP="00F425BB">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14.1 Nursery Provision</w:t>
      </w:r>
      <w:r w:rsidR="00523A73">
        <w:rPr>
          <w:rFonts w:eastAsia="Times New Roman" w:cstheme="minorHAnsi"/>
          <w:b/>
        </w:rPr>
        <w:t xml:space="preserve">: Overall Conclusion is substantial </w:t>
      </w:r>
    </w:p>
    <w:tbl>
      <w:tblPr>
        <w:tblW w:w="10397" w:type="dxa"/>
        <w:tblInd w:w="-108" w:type="dxa"/>
        <w:tblBorders>
          <w:top w:val="nil"/>
          <w:left w:val="nil"/>
          <w:bottom w:val="nil"/>
          <w:right w:val="nil"/>
        </w:tblBorders>
        <w:tblLayout w:type="fixed"/>
        <w:tblLook w:val="0000" w:firstRow="0" w:lastRow="0" w:firstColumn="0" w:lastColumn="0" w:noHBand="0" w:noVBand="0"/>
      </w:tblPr>
      <w:tblGrid>
        <w:gridCol w:w="10397"/>
      </w:tblGrid>
      <w:tr w:rsidR="00162E7B" w:rsidRPr="00523A73" w14:paraId="18D54BA3" w14:textId="77777777" w:rsidTr="00523A73">
        <w:trPr>
          <w:trHeight w:val="990"/>
        </w:trPr>
        <w:tc>
          <w:tcPr>
            <w:tcW w:w="10397" w:type="dxa"/>
          </w:tcPr>
          <w:p w14:paraId="39ED2141" w14:textId="77777777" w:rsidR="00523A73" w:rsidRPr="00162E7B" w:rsidRDefault="00523A73" w:rsidP="00523A73">
            <w:pPr>
              <w:autoSpaceDE w:val="0"/>
              <w:autoSpaceDN w:val="0"/>
              <w:adjustRightInd w:val="0"/>
              <w:spacing w:after="0" w:line="240" w:lineRule="auto"/>
              <w:rPr>
                <w:rFonts w:cstheme="minorHAnsi"/>
              </w:rPr>
            </w:pPr>
          </w:p>
          <w:p w14:paraId="592186F7" w14:textId="77777777" w:rsidR="00523A73" w:rsidRPr="00523A73" w:rsidRDefault="00523A73" w:rsidP="00523A73">
            <w:pPr>
              <w:autoSpaceDE w:val="0"/>
              <w:autoSpaceDN w:val="0"/>
              <w:adjustRightInd w:val="0"/>
              <w:spacing w:after="0" w:line="240" w:lineRule="auto"/>
              <w:rPr>
                <w:rFonts w:cstheme="minorHAnsi"/>
              </w:rPr>
            </w:pPr>
            <w:r w:rsidRPr="00162E7B">
              <w:rPr>
                <w:rFonts w:cstheme="minorHAnsi"/>
              </w:rPr>
              <w:t>“</w:t>
            </w:r>
            <w:r w:rsidRPr="00523A73">
              <w:rPr>
                <w:rFonts w:cstheme="minorHAnsi"/>
              </w:rPr>
              <w:t xml:space="preserve">We can provide the College with a substantial level of assurance surrounding the arrangements adopted to manage their nursery provision both in-house and through the AMCOL model. Our review identified that it would be more profitable for the College to move all nursery requirements to the AMCOL model, however there are several requirements for the College to maintain these in-house nurseries to serve their students’ needs and Union requirements. </w:t>
            </w:r>
          </w:p>
          <w:p w14:paraId="76438F17" w14:textId="77777777" w:rsidR="00523A73" w:rsidRPr="00523A73" w:rsidRDefault="00523A73" w:rsidP="00523A73">
            <w:pPr>
              <w:autoSpaceDE w:val="0"/>
              <w:autoSpaceDN w:val="0"/>
              <w:adjustRightInd w:val="0"/>
              <w:spacing w:after="0" w:line="240" w:lineRule="auto"/>
              <w:rPr>
                <w:rFonts w:cstheme="minorHAnsi"/>
              </w:rPr>
            </w:pPr>
            <w:r w:rsidRPr="00523A73">
              <w:rPr>
                <w:rFonts w:cstheme="minorHAnsi"/>
              </w:rPr>
              <w:t>We have identified several good practice points and 2 medium grade recommendations for improvement that will aid in the College's in-house nursery provision and may reduce the projected deficits.</w:t>
            </w:r>
            <w:r w:rsidRPr="00162E7B">
              <w:rPr>
                <w:rFonts w:cstheme="minorHAnsi"/>
              </w:rPr>
              <w:t>”</w:t>
            </w:r>
            <w:r w:rsidRPr="00523A73">
              <w:rPr>
                <w:rFonts w:cstheme="minorHAnsi"/>
              </w:rPr>
              <w:t xml:space="preserve"> </w:t>
            </w:r>
          </w:p>
        </w:tc>
      </w:tr>
    </w:tbl>
    <w:p w14:paraId="49C35D71" w14:textId="77777777" w:rsidR="001906AD" w:rsidRPr="00162E7B" w:rsidRDefault="001906AD" w:rsidP="00F425BB">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66E49EDA" w14:textId="77777777" w:rsidR="00523A73" w:rsidRPr="00162E7B" w:rsidRDefault="00523A73" w:rsidP="00F425BB">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6BAEF320" w14:textId="77777777" w:rsidR="00523A73" w:rsidRPr="00162E7B" w:rsidRDefault="001906AD" w:rsidP="00F425BB">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sidRPr="00162E7B">
        <w:rPr>
          <w:rFonts w:eastAsia="Times New Roman" w:cstheme="minorHAnsi"/>
          <w:b/>
        </w:rPr>
        <w:lastRenderedPageBreak/>
        <w:t>14.2 Review of College Catering</w:t>
      </w:r>
      <w:r w:rsidR="00523A73" w:rsidRPr="00162E7B">
        <w:rPr>
          <w:rFonts w:eastAsia="Times New Roman" w:cstheme="minorHAnsi"/>
          <w:b/>
        </w:rPr>
        <w:t>: Overall Conclusion is weak</w:t>
      </w:r>
    </w:p>
    <w:p w14:paraId="31B1FBFA" w14:textId="77777777" w:rsidR="00523A73" w:rsidRPr="00162E7B" w:rsidRDefault="00523A73" w:rsidP="00F425BB">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141C6849" w14:textId="77777777" w:rsidR="00523A73" w:rsidRPr="00162E7B" w:rsidRDefault="00427968" w:rsidP="00523A73">
      <w:pPr>
        <w:pStyle w:val="Default"/>
        <w:jc w:val="both"/>
        <w:rPr>
          <w:rFonts w:asciiTheme="minorHAnsi" w:hAnsiTheme="minorHAnsi" w:cstheme="minorHAnsi"/>
          <w:color w:val="auto"/>
          <w:sz w:val="22"/>
          <w:szCs w:val="22"/>
        </w:rPr>
      </w:pPr>
      <w:r w:rsidRPr="00162E7B">
        <w:rPr>
          <w:rFonts w:asciiTheme="minorHAnsi" w:hAnsiTheme="minorHAnsi" w:cstheme="minorHAnsi"/>
          <w:color w:val="auto"/>
          <w:sz w:val="22"/>
          <w:szCs w:val="22"/>
        </w:rPr>
        <w:t>“</w:t>
      </w:r>
      <w:r w:rsidR="00523A73" w:rsidRPr="00162E7B">
        <w:rPr>
          <w:rFonts w:asciiTheme="minorHAnsi" w:hAnsiTheme="minorHAnsi" w:cstheme="minorHAnsi"/>
          <w:color w:val="auto"/>
          <w:sz w:val="22"/>
          <w:szCs w:val="22"/>
        </w:rPr>
        <w:t xml:space="preserve">We have provided a weak level of assurance surrounding the controls in place to manage their Catering provision. Specifically, we have raised a total of 10 recommendation which includes 4 high grade recommendations, 3 medium grade recommendations and 3 low grade recommendations. </w:t>
      </w:r>
    </w:p>
    <w:p w14:paraId="20D9706B" w14:textId="77777777" w:rsidR="001906AD" w:rsidRDefault="00523A73" w:rsidP="00427968">
      <w:pPr>
        <w:tabs>
          <w:tab w:val="left" w:pos="0"/>
          <w:tab w:val="left" w:pos="851"/>
          <w:tab w:val="num" w:pos="1134"/>
          <w:tab w:val="left" w:pos="7230"/>
          <w:tab w:val="left" w:pos="7938"/>
          <w:tab w:val="right" w:pos="8789"/>
        </w:tabs>
        <w:spacing w:after="0" w:line="240" w:lineRule="auto"/>
        <w:jc w:val="both"/>
        <w:rPr>
          <w:rFonts w:cstheme="minorHAnsi"/>
        </w:rPr>
      </w:pPr>
      <w:r w:rsidRPr="00523A73">
        <w:rPr>
          <w:rFonts w:cstheme="minorHAnsi"/>
        </w:rPr>
        <w:t xml:space="preserve">The significant weaknesses we identified surrounded the standardisation of Catering provisions across campus, the development of College Catering strategies and action plans, developing formal KPIs for their Catering provisions and implementing a robust reporting structure and finally, cross campus communications to facilitate the sharing of good practice and resources. </w:t>
      </w:r>
      <w:r w:rsidR="00427968" w:rsidRPr="00162E7B">
        <w:rPr>
          <w:rFonts w:cstheme="minorHAnsi"/>
        </w:rPr>
        <w:t>“</w:t>
      </w:r>
    </w:p>
    <w:p w14:paraId="50BA7FAD" w14:textId="77777777" w:rsidR="00B27E67" w:rsidRDefault="00B27E67" w:rsidP="00427968">
      <w:pPr>
        <w:tabs>
          <w:tab w:val="left" w:pos="0"/>
          <w:tab w:val="left" w:pos="851"/>
          <w:tab w:val="num" w:pos="1134"/>
          <w:tab w:val="left" w:pos="7230"/>
          <w:tab w:val="left" w:pos="7938"/>
          <w:tab w:val="right" w:pos="8789"/>
        </w:tabs>
        <w:spacing w:after="0" w:line="240" w:lineRule="auto"/>
        <w:jc w:val="both"/>
        <w:rPr>
          <w:rFonts w:cstheme="minorHAnsi"/>
        </w:rPr>
      </w:pPr>
    </w:p>
    <w:p w14:paraId="1DC102A4" w14:textId="77777777" w:rsidR="00395403" w:rsidRPr="00B27E67" w:rsidRDefault="00395403" w:rsidP="00427968">
      <w:pPr>
        <w:tabs>
          <w:tab w:val="left" w:pos="0"/>
          <w:tab w:val="left" w:pos="851"/>
          <w:tab w:val="num" w:pos="1134"/>
          <w:tab w:val="left" w:pos="7230"/>
          <w:tab w:val="left" w:pos="7938"/>
          <w:tab w:val="right" w:pos="8789"/>
        </w:tabs>
        <w:spacing w:after="0" w:line="240" w:lineRule="auto"/>
        <w:jc w:val="both"/>
        <w:rPr>
          <w:rFonts w:eastAsia="Times New Roman" w:cstheme="minorHAnsi"/>
        </w:rPr>
      </w:pPr>
      <w:r w:rsidRPr="00B27E67">
        <w:rPr>
          <w:rFonts w:eastAsia="Times New Roman" w:cstheme="minorHAnsi"/>
        </w:rPr>
        <w:t>I Clark commented that the current manager had inherited these issues which had been exacerbated through the pandemic, and the commissioning of the Audit was the first step in highlighting and addressing the weaknesses. Y Finlayson suggested that some of the target dates for completion should be extended.</w:t>
      </w:r>
    </w:p>
    <w:p w14:paraId="108F0B8C" w14:textId="77777777" w:rsidR="00427968" w:rsidRPr="00162E7B" w:rsidRDefault="00427968" w:rsidP="00F425BB">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5ABAB5A7" w14:textId="77777777" w:rsidR="00F425BB" w:rsidRPr="00162E7B" w:rsidRDefault="00F425BB" w:rsidP="00F425BB">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sidRPr="00162E7B">
        <w:rPr>
          <w:rFonts w:eastAsia="Times New Roman" w:cstheme="minorHAnsi"/>
          <w:b/>
        </w:rPr>
        <w:t>1</w:t>
      </w:r>
      <w:r w:rsidR="00E66089" w:rsidRPr="00162E7B">
        <w:rPr>
          <w:rFonts w:eastAsia="Times New Roman" w:cstheme="minorHAnsi"/>
          <w:b/>
        </w:rPr>
        <w:t>4</w:t>
      </w:r>
      <w:r w:rsidRPr="00162E7B">
        <w:rPr>
          <w:rFonts w:eastAsia="Times New Roman" w:cstheme="minorHAnsi"/>
          <w:b/>
        </w:rPr>
        <w:t>.</w:t>
      </w:r>
      <w:r w:rsidR="001906AD" w:rsidRPr="00162E7B">
        <w:rPr>
          <w:rFonts w:eastAsia="Times New Roman" w:cstheme="minorHAnsi"/>
          <w:b/>
        </w:rPr>
        <w:t xml:space="preserve">3 </w:t>
      </w:r>
      <w:r w:rsidR="00CD78B3" w:rsidRPr="00162E7B">
        <w:rPr>
          <w:rFonts w:eastAsia="Times New Roman" w:cstheme="minorHAnsi"/>
          <w:b/>
        </w:rPr>
        <w:t>SS</w:t>
      </w:r>
      <w:r w:rsidR="00E66089" w:rsidRPr="00162E7B">
        <w:rPr>
          <w:rFonts w:eastAsia="Times New Roman" w:cstheme="minorHAnsi"/>
          <w:b/>
        </w:rPr>
        <w:t>F Report</w:t>
      </w:r>
      <w:r w:rsidR="00427968" w:rsidRPr="00162E7B">
        <w:rPr>
          <w:rFonts w:eastAsia="Times New Roman" w:cstheme="minorHAnsi"/>
          <w:b/>
        </w:rPr>
        <w:t xml:space="preserve"> - The overall conclusion is as follows: </w:t>
      </w:r>
    </w:p>
    <w:p w14:paraId="47D79F8F" w14:textId="77777777" w:rsidR="00427968" w:rsidRPr="00162E7B" w:rsidRDefault="00427968" w:rsidP="00F425BB">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36110D43" w14:textId="77777777" w:rsidR="00427968" w:rsidRPr="00162E7B" w:rsidRDefault="00427968" w:rsidP="00427968">
      <w:pPr>
        <w:autoSpaceDE w:val="0"/>
        <w:autoSpaceDN w:val="0"/>
        <w:adjustRightInd w:val="0"/>
        <w:spacing w:after="0" w:line="240" w:lineRule="auto"/>
        <w:jc w:val="both"/>
        <w:rPr>
          <w:rFonts w:cstheme="minorHAnsi"/>
        </w:rPr>
      </w:pPr>
      <w:r w:rsidRPr="00162E7B">
        <w:rPr>
          <w:rFonts w:cstheme="minorHAnsi"/>
        </w:rPr>
        <w:t>“</w:t>
      </w:r>
      <w:r w:rsidRPr="00427968">
        <w:rPr>
          <w:rFonts w:cstheme="minorHAnsi"/>
        </w:rPr>
        <w:t>We</w:t>
      </w:r>
      <w:r w:rsidRPr="00162E7B">
        <w:rPr>
          <w:rFonts w:cstheme="minorHAnsi"/>
        </w:rPr>
        <w:t xml:space="preserve"> </w:t>
      </w:r>
      <w:r w:rsidRPr="00427968">
        <w:rPr>
          <w:rFonts w:cstheme="minorHAnsi"/>
        </w:rPr>
        <w:t xml:space="preserve">have examined the books and records of New College Lanarkshire and have obtained such explanations and carried out such tests as we considered necessary.  On the basis of our examination and of the explanations given to us, we report that the information set out in these forms </w:t>
      </w:r>
      <w:proofErr w:type="gramStart"/>
      <w:r w:rsidRPr="00427968">
        <w:rPr>
          <w:rFonts w:cstheme="minorHAnsi"/>
        </w:rPr>
        <w:t>is in agreement</w:t>
      </w:r>
      <w:proofErr w:type="gramEnd"/>
      <w:r w:rsidRPr="00427968">
        <w:rPr>
          <w:rFonts w:cstheme="minorHAnsi"/>
        </w:rPr>
        <w:t xml:space="preserve"> with the underlying records.  We also report that, in our opinion, the College used these funds in accordance with the guidance issued by the SFC. </w:t>
      </w:r>
      <w:r w:rsidRPr="00162E7B">
        <w:rPr>
          <w:rFonts w:cstheme="minorHAnsi"/>
        </w:rPr>
        <w:t>“</w:t>
      </w:r>
      <w:r w:rsidRPr="00427968">
        <w:rPr>
          <w:rFonts w:cstheme="minorHAnsi"/>
        </w:rPr>
        <w:t xml:space="preserve"> </w:t>
      </w:r>
    </w:p>
    <w:p w14:paraId="473694C9" w14:textId="77777777" w:rsidR="00427968" w:rsidRPr="00162E7B" w:rsidRDefault="00427968" w:rsidP="00F425BB">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13F6CDDF" w14:textId="77777777" w:rsidR="00F425BB" w:rsidRPr="00162E7B" w:rsidRDefault="00F425BB" w:rsidP="00F425BB">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sidRPr="00162E7B">
        <w:rPr>
          <w:rFonts w:eastAsia="Times New Roman" w:cstheme="minorHAnsi"/>
          <w:b/>
        </w:rPr>
        <w:t>1</w:t>
      </w:r>
      <w:r w:rsidR="00E66089" w:rsidRPr="00162E7B">
        <w:rPr>
          <w:rFonts w:eastAsia="Times New Roman" w:cstheme="minorHAnsi"/>
          <w:b/>
        </w:rPr>
        <w:t>4</w:t>
      </w:r>
      <w:r w:rsidRPr="00162E7B">
        <w:rPr>
          <w:rFonts w:eastAsia="Times New Roman" w:cstheme="minorHAnsi"/>
          <w:b/>
        </w:rPr>
        <w:t>.</w:t>
      </w:r>
      <w:r w:rsidR="001906AD" w:rsidRPr="00162E7B">
        <w:rPr>
          <w:rFonts w:eastAsia="Times New Roman" w:cstheme="minorHAnsi"/>
          <w:b/>
        </w:rPr>
        <w:t xml:space="preserve">4 </w:t>
      </w:r>
      <w:r w:rsidR="00E66089" w:rsidRPr="00162E7B">
        <w:rPr>
          <w:rFonts w:eastAsia="Times New Roman" w:cstheme="minorHAnsi"/>
          <w:b/>
        </w:rPr>
        <w:t>EMA Report</w:t>
      </w:r>
      <w:r w:rsidR="00427968" w:rsidRPr="00162E7B">
        <w:rPr>
          <w:rFonts w:eastAsia="Times New Roman" w:cstheme="minorHAnsi"/>
          <w:b/>
        </w:rPr>
        <w:t>- The overall conclusion is as follows</w:t>
      </w:r>
    </w:p>
    <w:p w14:paraId="7E44983C" w14:textId="77777777" w:rsidR="00427968" w:rsidRPr="00162E7B" w:rsidRDefault="00427968" w:rsidP="00F425BB">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289126CA" w14:textId="77777777" w:rsidR="00427968" w:rsidRPr="00162E7B" w:rsidRDefault="00427968" w:rsidP="00427968">
      <w:pPr>
        <w:autoSpaceDE w:val="0"/>
        <w:autoSpaceDN w:val="0"/>
        <w:adjustRightInd w:val="0"/>
        <w:spacing w:after="0" w:line="240" w:lineRule="auto"/>
        <w:jc w:val="both"/>
        <w:rPr>
          <w:rFonts w:cstheme="minorHAnsi"/>
        </w:rPr>
      </w:pPr>
      <w:r w:rsidRPr="00162E7B">
        <w:rPr>
          <w:rFonts w:cstheme="minorHAnsi"/>
        </w:rPr>
        <w:t>“</w:t>
      </w:r>
      <w:r w:rsidRPr="00427968">
        <w:rPr>
          <w:rFonts w:cstheme="minorHAnsi"/>
        </w:rPr>
        <w:t>We</w:t>
      </w:r>
      <w:r w:rsidRPr="00162E7B">
        <w:rPr>
          <w:rFonts w:cstheme="minorHAnsi"/>
        </w:rPr>
        <w:t xml:space="preserve"> </w:t>
      </w:r>
      <w:r w:rsidRPr="00427968">
        <w:rPr>
          <w:rFonts w:cstheme="minorHAnsi"/>
        </w:rPr>
        <w:t xml:space="preserve">have examined the books and records of New College Lanarkshire, including evidence of spot checks of five per cent of applications and payments, with a minimum sample size of five students, and have obtained such explanations and carried out such tests as we considered necessary.  On the basis of our examination and of the explanations given to us, we report that the information set out in these forms </w:t>
      </w:r>
      <w:proofErr w:type="gramStart"/>
      <w:r w:rsidRPr="00427968">
        <w:rPr>
          <w:rFonts w:cstheme="minorHAnsi"/>
        </w:rPr>
        <w:t>is in agreement</w:t>
      </w:r>
      <w:proofErr w:type="gramEnd"/>
      <w:r w:rsidRPr="00427968">
        <w:rPr>
          <w:rFonts w:cstheme="minorHAnsi"/>
        </w:rPr>
        <w:t xml:space="preserve"> with the underlying records.</w:t>
      </w:r>
      <w:r w:rsidRPr="00162E7B">
        <w:rPr>
          <w:rFonts w:cstheme="minorHAnsi"/>
        </w:rPr>
        <w:t xml:space="preserve"> </w:t>
      </w:r>
      <w:r w:rsidRPr="00427968">
        <w:rPr>
          <w:rFonts w:cstheme="minorHAnsi"/>
        </w:rPr>
        <w:t>We also report that, in our opinion, the College used these funds in accordance with the guidance issued by the SFC.  We are satisfied that the systems and controls of the administration and disbursement of these funds are adequate.</w:t>
      </w:r>
      <w:r w:rsidRPr="00162E7B">
        <w:rPr>
          <w:rFonts w:cstheme="minorHAnsi"/>
        </w:rPr>
        <w:t xml:space="preserve">” </w:t>
      </w:r>
    </w:p>
    <w:p w14:paraId="6389E9EC" w14:textId="77777777" w:rsidR="00427968" w:rsidRPr="00162E7B" w:rsidRDefault="00427968" w:rsidP="00F425BB">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3CDFFB12" w14:textId="77777777" w:rsidR="00F425BB" w:rsidRPr="00162E7B" w:rsidRDefault="00F425BB" w:rsidP="00F425BB">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sidRPr="00162E7B">
        <w:rPr>
          <w:rFonts w:eastAsia="Times New Roman" w:cstheme="minorHAnsi"/>
          <w:b/>
        </w:rPr>
        <w:t>1</w:t>
      </w:r>
      <w:r w:rsidR="00E66089" w:rsidRPr="00162E7B">
        <w:rPr>
          <w:rFonts w:eastAsia="Times New Roman" w:cstheme="minorHAnsi"/>
          <w:b/>
        </w:rPr>
        <w:t>4</w:t>
      </w:r>
      <w:r w:rsidR="007E7CD0" w:rsidRPr="00162E7B">
        <w:rPr>
          <w:rFonts w:eastAsia="Times New Roman" w:cstheme="minorHAnsi"/>
          <w:b/>
        </w:rPr>
        <w:t>.</w:t>
      </w:r>
      <w:r w:rsidR="001906AD" w:rsidRPr="00162E7B">
        <w:rPr>
          <w:rFonts w:eastAsia="Times New Roman" w:cstheme="minorHAnsi"/>
          <w:b/>
        </w:rPr>
        <w:t xml:space="preserve">5 </w:t>
      </w:r>
      <w:r w:rsidR="00E66089" w:rsidRPr="00162E7B">
        <w:rPr>
          <w:rFonts w:eastAsia="Times New Roman" w:cstheme="minorHAnsi"/>
          <w:b/>
        </w:rPr>
        <w:t>Credits Report</w:t>
      </w:r>
      <w:r w:rsidR="00427968" w:rsidRPr="00162E7B">
        <w:rPr>
          <w:rFonts w:eastAsia="Times New Roman" w:cstheme="minorHAnsi"/>
          <w:b/>
        </w:rPr>
        <w:t xml:space="preserve"> -The overall conclusion is as follows </w:t>
      </w:r>
    </w:p>
    <w:p w14:paraId="77AFB06F" w14:textId="77777777" w:rsidR="00427968" w:rsidRPr="00162E7B" w:rsidRDefault="00427968" w:rsidP="00F425BB">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2A109CCB" w14:textId="77777777" w:rsidR="00427968" w:rsidRPr="00427968" w:rsidRDefault="00427968" w:rsidP="00427968">
      <w:pPr>
        <w:autoSpaceDE w:val="0"/>
        <w:autoSpaceDN w:val="0"/>
        <w:adjustRightInd w:val="0"/>
        <w:spacing w:after="0" w:line="240" w:lineRule="auto"/>
        <w:jc w:val="both"/>
        <w:rPr>
          <w:rFonts w:cstheme="minorHAnsi"/>
        </w:rPr>
      </w:pPr>
      <w:r w:rsidRPr="00162E7B">
        <w:rPr>
          <w:rFonts w:cstheme="minorHAnsi"/>
        </w:rPr>
        <w:t>“</w:t>
      </w:r>
      <w:r w:rsidRPr="00427968">
        <w:rPr>
          <w:rFonts w:cstheme="minorHAnsi"/>
        </w:rPr>
        <w:t>The College has reasonable procedures and controls over the collection of data for the Credits return and assurance can be taken</w:t>
      </w:r>
      <w:r w:rsidR="003D3B78">
        <w:rPr>
          <w:rFonts w:cstheme="minorHAnsi"/>
        </w:rPr>
        <w:t xml:space="preserve"> </w:t>
      </w:r>
      <w:r w:rsidRPr="00427968">
        <w:rPr>
          <w:rFonts w:cstheme="minorHAnsi"/>
        </w:rPr>
        <w:t xml:space="preserve">that the Credits count for the College is not materially mis-stated. The systems used by the College are satisfactory. The recommendation arising as a result of our review is included within Appendix C. </w:t>
      </w:r>
    </w:p>
    <w:p w14:paraId="5A5BE4FF" w14:textId="77777777" w:rsidR="00427968" w:rsidRPr="00427968" w:rsidRDefault="00427968" w:rsidP="00427968">
      <w:pPr>
        <w:autoSpaceDE w:val="0"/>
        <w:autoSpaceDN w:val="0"/>
        <w:adjustRightInd w:val="0"/>
        <w:spacing w:after="0" w:line="240" w:lineRule="auto"/>
        <w:jc w:val="both"/>
        <w:rPr>
          <w:rFonts w:cstheme="minorHAnsi"/>
        </w:rPr>
      </w:pPr>
      <w:r w:rsidRPr="00427968">
        <w:rPr>
          <w:rFonts w:cstheme="minorHAnsi"/>
        </w:rPr>
        <w:t xml:space="preserve">We can also confirm that from our review of the 4 recommendations raised in 2020/21, we found that 3 of these had been fully implemented with 1 not implemented. See Appendix C and D of this report for further details. </w:t>
      </w:r>
    </w:p>
    <w:p w14:paraId="126CEEE5" w14:textId="77777777" w:rsidR="00427968" w:rsidRPr="00162E7B" w:rsidRDefault="00427968" w:rsidP="00427968">
      <w:pPr>
        <w:tabs>
          <w:tab w:val="left" w:pos="0"/>
          <w:tab w:val="left" w:pos="851"/>
          <w:tab w:val="num" w:pos="1134"/>
          <w:tab w:val="left" w:pos="7230"/>
          <w:tab w:val="left" w:pos="7938"/>
          <w:tab w:val="right" w:pos="8789"/>
        </w:tabs>
        <w:spacing w:after="0" w:line="240" w:lineRule="auto"/>
        <w:jc w:val="both"/>
        <w:rPr>
          <w:rFonts w:eastAsia="Times New Roman" w:cstheme="minorHAnsi"/>
          <w:b/>
        </w:rPr>
      </w:pPr>
      <w:r w:rsidRPr="00427968">
        <w:rPr>
          <w:rFonts w:cstheme="minorHAnsi"/>
        </w:rPr>
        <w:t xml:space="preserve">The College’s credit target for the academic year 2021/22, agreed between the SFC and the College, was 136,139 credits compared with an actual total of 132,823 credits. A summary of the variances is included in the table below. </w:t>
      </w:r>
      <w:r w:rsidRPr="00162E7B">
        <w:rPr>
          <w:rFonts w:cstheme="minorHAnsi"/>
        </w:rPr>
        <w:t>“</w:t>
      </w:r>
    </w:p>
    <w:p w14:paraId="78157C03" w14:textId="77777777" w:rsidR="00427968" w:rsidRPr="00162E7B" w:rsidRDefault="00427968" w:rsidP="00F425BB">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6B438176" w14:textId="77777777" w:rsidR="00F425BB" w:rsidRPr="00162E7B" w:rsidRDefault="00F425BB" w:rsidP="00427968">
      <w:pPr>
        <w:tabs>
          <w:tab w:val="left" w:pos="0"/>
          <w:tab w:val="left" w:pos="851"/>
          <w:tab w:val="num" w:pos="1134"/>
          <w:tab w:val="left" w:pos="7230"/>
          <w:tab w:val="left" w:pos="7938"/>
          <w:tab w:val="right" w:pos="8789"/>
        </w:tabs>
        <w:spacing w:after="0" w:line="240" w:lineRule="auto"/>
        <w:jc w:val="both"/>
        <w:rPr>
          <w:rFonts w:eastAsia="Times New Roman" w:cstheme="minorHAnsi"/>
        </w:rPr>
      </w:pPr>
      <w:r w:rsidRPr="00162E7B">
        <w:rPr>
          <w:rFonts w:eastAsia="Times New Roman" w:cstheme="minorHAnsi"/>
          <w:b/>
        </w:rPr>
        <w:t>1</w:t>
      </w:r>
      <w:r w:rsidR="00E66089" w:rsidRPr="00162E7B">
        <w:rPr>
          <w:rFonts w:eastAsia="Times New Roman" w:cstheme="minorHAnsi"/>
          <w:b/>
        </w:rPr>
        <w:t>4</w:t>
      </w:r>
      <w:r w:rsidRPr="00162E7B">
        <w:rPr>
          <w:rFonts w:eastAsia="Times New Roman" w:cstheme="minorHAnsi"/>
          <w:b/>
        </w:rPr>
        <w:t>.</w:t>
      </w:r>
      <w:r w:rsidR="001906AD" w:rsidRPr="00162E7B">
        <w:rPr>
          <w:rFonts w:eastAsia="Times New Roman" w:cstheme="minorHAnsi"/>
          <w:b/>
        </w:rPr>
        <w:t xml:space="preserve">6 Update </w:t>
      </w:r>
      <w:r w:rsidR="00E66089" w:rsidRPr="00162E7B">
        <w:rPr>
          <w:rFonts w:eastAsia="Times New Roman" w:cstheme="minorHAnsi"/>
          <w:b/>
        </w:rPr>
        <w:t>Regional Assurance</w:t>
      </w:r>
      <w:r w:rsidR="001906AD" w:rsidRPr="00162E7B">
        <w:rPr>
          <w:rFonts w:eastAsia="Times New Roman" w:cstheme="minorHAnsi"/>
          <w:b/>
        </w:rPr>
        <w:t xml:space="preserve"> and Annual Report</w:t>
      </w:r>
      <w:r w:rsidR="00427968" w:rsidRPr="00162E7B">
        <w:rPr>
          <w:rFonts w:eastAsia="Times New Roman" w:cstheme="minorHAnsi"/>
          <w:b/>
        </w:rPr>
        <w:t xml:space="preserve">: </w:t>
      </w:r>
      <w:r w:rsidR="00427968" w:rsidRPr="00162E7B">
        <w:rPr>
          <w:rFonts w:eastAsia="Times New Roman" w:cstheme="minorHAnsi"/>
        </w:rPr>
        <w:t>Stephen Pringle informed the Committee that Wylie</w:t>
      </w:r>
      <w:r w:rsidR="00395403">
        <w:rPr>
          <w:rFonts w:eastAsia="Times New Roman" w:cstheme="minorHAnsi"/>
        </w:rPr>
        <w:t xml:space="preserve"> &amp; </w:t>
      </w:r>
      <w:r w:rsidR="00427968" w:rsidRPr="00162E7B">
        <w:rPr>
          <w:rFonts w:eastAsia="Times New Roman" w:cstheme="minorHAnsi"/>
        </w:rPr>
        <w:t xml:space="preserve"> Bisset were awaiting information from the SLC internal auditors Henderson Loggie and would complete these reports when they had the information. These reports are also key to completing the Lanarkshire ARCs Annual Report.</w:t>
      </w:r>
      <w:r w:rsidR="0019088C" w:rsidRPr="00162E7B">
        <w:rPr>
          <w:rFonts w:eastAsia="Times New Roman" w:cstheme="minorHAnsi"/>
        </w:rPr>
        <w:t xml:space="preserve"> Keith McAllister and Alan Sherry informed the committee that there had been a problem with the transfer of data to the SFC and that SLC was in dialogue with the SFC and Henderson Loggie to resolve this issue as quickly as possible. The problem is at the SFC end with data being lost as it was transferred from the </w:t>
      </w:r>
      <w:r w:rsidR="0019088C" w:rsidRPr="00162E7B">
        <w:rPr>
          <w:rFonts w:eastAsia="Times New Roman" w:cstheme="minorHAnsi"/>
        </w:rPr>
        <w:lastRenderedPageBreak/>
        <w:t>college to the SFC and that this is also a problem for other colleges in the sector where the same loss of data has been incurred.</w:t>
      </w:r>
    </w:p>
    <w:p w14:paraId="17CA8E2C" w14:textId="77777777" w:rsidR="003D3B78" w:rsidRDefault="003D3B78" w:rsidP="00F425BB">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2172AF39" w14:textId="77777777" w:rsidR="00024801" w:rsidRDefault="003D3B78" w:rsidP="00CE5B48">
      <w:pPr>
        <w:tabs>
          <w:tab w:val="left" w:pos="0"/>
          <w:tab w:val="left" w:pos="567"/>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 xml:space="preserve">14.7 </w:t>
      </w:r>
      <w:r w:rsidRPr="00CE5B48">
        <w:rPr>
          <w:rFonts w:eastAsia="Times New Roman" w:cstheme="minorHAnsi"/>
        </w:rPr>
        <w:t>The L</w:t>
      </w:r>
      <w:r w:rsidR="00CE5B48" w:rsidRPr="00CE5B48">
        <w:rPr>
          <w:rFonts w:eastAsia="Times New Roman" w:cstheme="minorHAnsi"/>
        </w:rPr>
        <w:t>a</w:t>
      </w:r>
      <w:r w:rsidRPr="00CE5B48">
        <w:rPr>
          <w:rFonts w:eastAsia="Times New Roman" w:cstheme="minorHAnsi"/>
        </w:rPr>
        <w:t xml:space="preserve">narkshire </w:t>
      </w:r>
      <w:r w:rsidR="00CE5B48" w:rsidRPr="00CE5B48">
        <w:rPr>
          <w:rFonts w:eastAsia="Times New Roman" w:cstheme="minorHAnsi"/>
        </w:rPr>
        <w:t>A</w:t>
      </w:r>
      <w:r w:rsidRPr="00CE5B48">
        <w:rPr>
          <w:rFonts w:eastAsia="Times New Roman" w:cstheme="minorHAnsi"/>
        </w:rPr>
        <w:t>RC noted the reports</w:t>
      </w:r>
      <w:r w:rsidR="00CE5B48" w:rsidRPr="00CE5B48">
        <w:rPr>
          <w:rFonts w:eastAsia="Times New Roman" w:cstheme="minorHAnsi"/>
        </w:rPr>
        <w:t xml:space="preserve"> and that the catering report would be followed up by management.</w:t>
      </w:r>
    </w:p>
    <w:p w14:paraId="50BCDCAA" w14:textId="2E3AD10D" w:rsidR="00BD2BF2" w:rsidRPr="00162E7B" w:rsidRDefault="00DD0D59" w:rsidP="00CE5B48">
      <w:pPr>
        <w:tabs>
          <w:tab w:val="left" w:pos="0"/>
          <w:tab w:val="left" w:pos="567"/>
          <w:tab w:val="left" w:pos="851"/>
          <w:tab w:val="num" w:pos="1134"/>
          <w:tab w:val="left" w:pos="7230"/>
          <w:tab w:val="left" w:pos="7938"/>
          <w:tab w:val="right" w:pos="8789"/>
        </w:tabs>
        <w:spacing w:after="0" w:line="240" w:lineRule="auto"/>
        <w:jc w:val="both"/>
        <w:rPr>
          <w:rFonts w:eastAsia="Times New Roman" w:cstheme="minorHAnsi"/>
          <w:b/>
        </w:rPr>
      </w:pPr>
      <w:r w:rsidRPr="00162E7B">
        <w:rPr>
          <w:rFonts w:eastAsia="Times New Roman" w:cstheme="minorHAnsi"/>
          <w:b/>
        </w:rPr>
        <w:tab/>
      </w:r>
    </w:p>
    <w:p w14:paraId="786A45D0" w14:textId="77777777" w:rsidR="00BE5EE0" w:rsidRPr="00162E7B" w:rsidRDefault="00BE5EE0" w:rsidP="003D3B78">
      <w:pPr>
        <w:tabs>
          <w:tab w:val="left" w:pos="0"/>
          <w:tab w:val="left" w:pos="851"/>
          <w:tab w:val="num" w:pos="1134"/>
          <w:tab w:val="left" w:pos="7230"/>
          <w:tab w:val="left" w:pos="7938"/>
          <w:tab w:val="right" w:pos="8789"/>
        </w:tabs>
        <w:spacing w:after="0" w:line="240" w:lineRule="auto"/>
        <w:jc w:val="both"/>
        <w:rPr>
          <w:rFonts w:eastAsia="Times New Roman" w:cstheme="minorHAnsi"/>
          <w:b/>
        </w:rPr>
      </w:pPr>
      <w:r w:rsidRPr="00162E7B">
        <w:rPr>
          <w:rFonts w:eastAsia="Times New Roman" w:cstheme="minorHAnsi"/>
          <w:b/>
        </w:rPr>
        <w:t>1</w:t>
      </w:r>
      <w:r w:rsidR="00E66089" w:rsidRPr="00162E7B">
        <w:rPr>
          <w:rFonts w:eastAsia="Times New Roman" w:cstheme="minorHAnsi"/>
          <w:b/>
        </w:rPr>
        <w:t>5</w:t>
      </w:r>
      <w:r w:rsidRPr="00162E7B">
        <w:rPr>
          <w:rFonts w:eastAsia="Times New Roman" w:cstheme="minorHAnsi"/>
          <w:b/>
        </w:rPr>
        <w:t>. Approval of Publication of Committee Papers</w:t>
      </w:r>
      <w:r w:rsidR="0019088C" w:rsidRPr="00162E7B">
        <w:rPr>
          <w:rFonts w:eastAsia="Times New Roman" w:cstheme="minorHAnsi"/>
          <w:b/>
        </w:rPr>
        <w:t>:</w:t>
      </w:r>
      <w:r w:rsidR="00427968" w:rsidRPr="00162E7B">
        <w:rPr>
          <w:rFonts w:eastAsia="Times New Roman" w:cstheme="minorHAnsi"/>
          <w:b/>
        </w:rPr>
        <w:t xml:space="preserve"> </w:t>
      </w:r>
      <w:r w:rsidR="00427968" w:rsidRPr="00162E7B">
        <w:rPr>
          <w:rFonts w:eastAsia="Times New Roman" w:cstheme="minorHAnsi"/>
        </w:rPr>
        <w:t xml:space="preserve">The Committee approved the publication of the Agenda, the minute of the meeting of the </w:t>
      </w:r>
      <w:r w:rsidR="0019088C" w:rsidRPr="00162E7B">
        <w:rPr>
          <w:rFonts w:eastAsia="Times New Roman" w:cstheme="minorHAnsi"/>
        </w:rPr>
        <w:t>5</w:t>
      </w:r>
      <w:r w:rsidR="0019088C" w:rsidRPr="00162E7B">
        <w:rPr>
          <w:rFonts w:eastAsia="Times New Roman" w:cstheme="minorHAnsi"/>
          <w:vertAlign w:val="superscript"/>
        </w:rPr>
        <w:t>th</w:t>
      </w:r>
      <w:r w:rsidR="0019088C" w:rsidRPr="00162E7B">
        <w:rPr>
          <w:rFonts w:eastAsia="Times New Roman" w:cstheme="minorHAnsi"/>
        </w:rPr>
        <w:t xml:space="preserve"> September 2022 </w:t>
      </w:r>
      <w:r w:rsidR="00427968" w:rsidRPr="00162E7B">
        <w:rPr>
          <w:rFonts w:eastAsia="Times New Roman" w:cstheme="minorHAnsi"/>
        </w:rPr>
        <w:t xml:space="preserve">and the </w:t>
      </w:r>
      <w:r w:rsidR="0019088C" w:rsidRPr="00162E7B">
        <w:rPr>
          <w:rFonts w:eastAsia="Times New Roman" w:cstheme="minorHAnsi"/>
        </w:rPr>
        <w:t xml:space="preserve">Audit Scotland </w:t>
      </w:r>
      <w:r w:rsidR="00427968" w:rsidRPr="00162E7B">
        <w:rPr>
          <w:rFonts w:eastAsia="Times New Roman" w:cstheme="minorHAnsi"/>
        </w:rPr>
        <w:t xml:space="preserve">Technical bulletin. The Accounts will be published </w:t>
      </w:r>
      <w:r w:rsidR="0019088C" w:rsidRPr="00162E7B">
        <w:rPr>
          <w:rFonts w:eastAsia="Times New Roman" w:cstheme="minorHAnsi"/>
        </w:rPr>
        <w:t>in due course</w:t>
      </w:r>
      <w:r w:rsidR="0019088C" w:rsidRPr="00162E7B">
        <w:rPr>
          <w:rFonts w:eastAsia="Times New Roman" w:cstheme="minorHAnsi"/>
          <w:b/>
        </w:rPr>
        <w:t>.</w:t>
      </w:r>
      <w:r w:rsidR="001F3C0B" w:rsidRPr="00162E7B">
        <w:rPr>
          <w:rFonts w:eastAsia="Times New Roman" w:cstheme="minorHAnsi"/>
          <w:b/>
        </w:rPr>
        <w:tab/>
      </w:r>
    </w:p>
    <w:p w14:paraId="20053786" w14:textId="77777777" w:rsidR="007A46EF" w:rsidRPr="00162E7B" w:rsidRDefault="007A46EF" w:rsidP="00D6234B">
      <w:pPr>
        <w:tabs>
          <w:tab w:val="left" w:pos="567"/>
          <w:tab w:val="left" w:pos="851"/>
          <w:tab w:val="num" w:pos="1134"/>
          <w:tab w:val="left" w:pos="7371"/>
          <w:tab w:val="left" w:pos="7938"/>
          <w:tab w:val="right" w:pos="8789"/>
        </w:tabs>
        <w:spacing w:after="0" w:line="240" w:lineRule="auto"/>
        <w:jc w:val="both"/>
        <w:rPr>
          <w:rFonts w:eastAsia="Times New Roman" w:cstheme="minorHAnsi"/>
          <w:b/>
        </w:rPr>
      </w:pPr>
    </w:p>
    <w:p w14:paraId="032FC602" w14:textId="77777777" w:rsidR="0019088C" w:rsidRPr="00162E7B" w:rsidRDefault="005B39E7" w:rsidP="0019088C">
      <w:pPr>
        <w:tabs>
          <w:tab w:val="left" w:pos="567"/>
          <w:tab w:val="left" w:pos="851"/>
          <w:tab w:val="num" w:pos="1134"/>
          <w:tab w:val="left" w:pos="7371"/>
          <w:tab w:val="left" w:pos="7938"/>
          <w:tab w:val="right" w:pos="8789"/>
        </w:tabs>
        <w:spacing w:after="0" w:line="240" w:lineRule="auto"/>
        <w:jc w:val="both"/>
        <w:rPr>
          <w:rFonts w:eastAsia="Times New Roman" w:cstheme="minorHAnsi"/>
        </w:rPr>
      </w:pPr>
      <w:r w:rsidRPr="00162E7B">
        <w:rPr>
          <w:rFonts w:eastAsia="Times New Roman" w:cstheme="minorHAnsi"/>
          <w:b/>
        </w:rPr>
        <w:t>1</w:t>
      </w:r>
      <w:r w:rsidR="00E66089" w:rsidRPr="00162E7B">
        <w:rPr>
          <w:rFonts w:eastAsia="Times New Roman" w:cstheme="minorHAnsi"/>
          <w:b/>
        </w:rPr>
        <w:t>6</w:t>
      </w:r>
      <w:r w:rsidRPr="00162E7B">
        <w:rPr>
          <w:rFonts w:eastAsia="Times New Roman" w:cstheme="minorHAnsi"/>
          <w:b/>
        </w:rPr>
        <w:t>. AOB</w:t>
      </w:r>
      <w:r w:rsidR="0019088C" w:rsidRPr="00162E7B">
        <w:rPr>
          <w:rFonts w:eastAsia="Times New Roman" w:cstheme="minorHAnsi"/>
          <w:b/>
        </w:rPr>
        <w:t xml:space="preserve">: </w:t>
      </w:r>
      <w:r w:rsidR="0019088C" w:rsidRPr="00162E7B">
        <w:rPr>
          <w:rFonts w:eastAsia="Times New Roman" w:cstheme="minorHAnsi"/>
        </w:rPr>
        <w:t>Ronnie Smith</w:t>
      </w:r>
      <w:r w:rsidR="0019088C" w:rsidRPr="00162E7B">
        <w:rPr>
          <w:rFonts w:eastAsia="Times New Roman" w:cstheme="minorHAnsi"/>
          <w:b/>
        </w:rPr>
        <w:t xml:space="preserve"> </w:t>
      </w:r>
      <w:r w:rsidR="0019088C" w:rsidRPr="00162E7B">
        <w:rPr>
          <w:rFonts w:eastAsia="Times New Roman" w:cstheme="minorHAnsi"/>
        </w:rPr>
        <w:t>stated that</w:t>
      </w:r>
      <w:r w:rsidR="0019088C" w:rsidRPr="00162E7B">
        <w:rPr>
          <w:rFonts w:eastAsia="Times New Roman" w:cstheme="minorHAnsi"/>
          <w:b/>
        </w:rPr>
        <w:t xml:space="preserve"> </w:t>
      </w:r>
      <w:r w:rsidR="0019088C" w:rsidRPr="00162E7B">
        <w:rPr>
          <w:rFonts w:eastAsia="Times New Roman" w:cstheme="minorHAnsi"/>
        </w:rPr>
        <w:t>he hoped that the accounts would be signed off in</w:t>
      </w:r>
      <w:r w:rsidR="0019088C" w:rsidRPr="00162E7B">
        <w:rPr>
          <w:rFonts w:eastAsia="Times New Roman" w:cstheme="minorHAnsi"/>
          <w:b/>
        </w:rPr>
        <w:t xml:space="preserve"> </w:t>
      </w:r>
      <w:r w:rsidR="0019088C" w:rsidRPr="00162E7B">
        <w:rPr>
          <w:rFonts w:eastAsia="Times New Roman" w:cstheme="minorHAnsi"/>
        </w:rPr>
        <w:t xml:space="preserve">January 2023 and wished all the best for the festive season. </w:t>
      </w:r>
    </w:p>
    <w:p w14:paraId="5ACBE24A" w14:textId="77777777" w:rsidR="005B39E7" w:rsidRPr="00162E7B" w:rsidRDefault="005B39E7" w:rsidP="00D6234B">
      <w:pPr>
        <w:tabs>
          <w:tab w:val="left" w:pos="567"/>
          <w:tab w:val="left" w:pos="851"/>
          <w:tab w:val="num" w:pos="1134"/>
          <w:tab w:val="left" w:pos="7371"/>
          <w:tab w:val="left" w:pos="7938"/>
          <w:tab w:val="right" w:pos="8789"/>
        </w:tabs>
        <w:spacing w:after="0" w:line="240" w:lineRule="auto"/>
        <w:jc w:val="both"/>
        <w:rPr>
          <w:rFonts w:eastAsia="Times New Roman" w:cstheme="minorHAnsi"/>
          <w:b/>
        </w:rPr>
      </w:pPr>
    </w:p>
    <w:p w14:paraId="5AB50720" w14:textId="77777777" w:rsidR="00237049" w:rsidRPr="00162E7B" w:rsidRDefault="0081219A" w:rsidP="00E42CDF">
      <w:pPr>
        <w:tabs>
          <w:tab w:val="left" w:pos="567"/>
          <w:tab w:val="left" w:pos="851"/>
          <w:tab w:val="num" w:pos="1134"/>
          <w:tab w:val="left" w:pos="7371"/>
          <w:tab w:val="left" w:pos="7938"/>
          <w:tab w:val="right" w:pos="8789"/>
        </w:tabs>
        <w:spacing w:after="0" w:line="240" w:lineRule="auto"/>
        <w:jc w:val="both"/>
        <w:rPr>
          <w:rFonts w:eastAsia="Times New Roman" w:cstheme="minorHAnsi"/>
        </w:rPr>
      </w:pPr>
      <w:r w:rsidRPr="00162E7B">
        <w:rPr>
          <w:rFonts w:eastAsia="Times New Roman" w:cstheme="minorHAnsi"/>
          <w:b/>
        </w:rPr>
        <w:t>1</w:t>
      </w:r>
      <w:r w:rsidR="00E66089" w:rsidRPr="00162E7B">
        <w:rPr>
          <w:rFonts w:eastAsia="Times New Roman" w:cstheme="minorHAnsi"/>
          <w:b/>
        </w:rPr>
        <w:t>7</w:t>
      </w:r>
      <w:r w:rsidR="00D6234B" w:rsidRPr="00162E7B">
        <w:rPr>
          <w:rFonts w:eastAsia="Times New Roman" w:cstheme="minorHAnsi"/>
          <w:b/>
        </w:rPr>
        <w:t>. Date of Next Meeting</w:t>
      </w:r>
      <w:r w:rsidR="00E42CDF" w:rsidRPr="00162E7B">
        <w:rPr>
          <w:rFonts w:eastAsia="Times New Roman" w:cstheme="minorHAnsi"/>
          <w:b/>
        </w:rPr>
        <w:t xml:space="preserve">: </w:t>
      </w:r>
      <w:r w:rsidR="00D6234B" w:rsidRPr="00162E7B">
        <w:rPr>
          <w:rFonts w:eastAsia="Times New Roman" w:cstheme="minorHAnsi"/>
        </w:rPr>
        <w:t xml:space="preserve">The </w:t>
      </w:r>
      <w:r w:rsidR="009A08F5" w:rsidRPr="00162E7B">
        <w:rPr>
          <w:rFonts w:eastAsia="Times New Roman" w:cstheme="minorHAnsi"/>
        </w:rPr>
        <w:t xml:space="preserve">date for the </w:t>
      </w:r>
      <w:r w:rsidR="00D6234B" w:rsidRPr="00162E7B">
        <w:rPr>
          <w:rFonts w:eastAsia="Times New Roman" w:cstheme="minorHAnsi"/>
        </w:rPr>
        <w:t xml:space="preserve">next </w:t>
      </w:r>
      <w:r w:rsidR="001B1583" w:rsidRPr="00162E7B">
        <w:rPr>
          <w:rFonts w:eastAsia="Times New Roman" w:cstheme="minorHAnsi"/>
        </w:rPr>
        <w:t xml:space="preserve">scheduled </w:t>
      </w:r>
      <w:r w:rsidR="00D6234B" w:rsidRPr="00162E7B">
        <w:rPr>
          <w:rFonts w:eastAsia="Times New Roman" w:cstheme="minorHAnsi"/>
        </w:rPr>
        <w:t xml:space="preserve">meeting </w:t>
      </w:r>
      <w:r w:rsidR="005E54E1" w:rsidRPr="00162E7B">
        <w:rPr>
          <w:rFonts w:eastAsia="Times New Roman" w:cstheme="minorHAnsi"/>
        </w:rPr>
        <w:t>i</w:t>
      </w:r>
      <w:r w:rsidR="009A08F5" w:rsidRPr="00162E7B">
        <w:rPr>
          <w:rFonts w:eastAsia="Times New Roman" w:cstheme="minorHAnsi"/>
        </w:rPr>
        <w:t>s</w:t>
      </w:r>
      <w:r w:rsidR="005E54E1" w:rsidRPr="00162E7B">
        <w:rPr>
          <w:rFonts w:eastAsia="Times New Roman" w:cstheme="minorHAnsi"/>
        </w:rPr>
        <w:t xml:space="preserve"> </w:t>
      </w:r>
      <w:r w:rsidR="00B619E2" w:rsidRPr="00162E7B">
        <w:rPr>
          <w:rFonts w:eastAsia="Times New Roman" w:cstheme="minorHAnsi"/>
          <w:b/>
        </w:rPr>
        <w:t xml:space="preserve">Monday </w:t>
      </w:r>
      <w:r w:rsidR="000109C3" w:rsidRPr="00162E7B">
        <w:rPr>
          <w:rFonts w:eastAsia="Times New Roman" w:cstheme="minorHAnsi"/>
          <w:b/>
        </w:rPr>
        <w:t>20</w:t>
      </w:r>
      <w:r w:rsidR="000109C3" w:rsidRPr="00162E7B">
        <w:rPr>
          <w:rFonts w:eastAsia="Times New Roman" w:cstheme="minorHAnsi"/>
          <w:b/>
          <w:vertAlign w:val="superscript"/>
        </w:rPr>
        <w:t>th</w:t>
      </w:r>
      <w:r w:rsidR="000109C3" w:rsidRPr="00162E7B">
        <w:rPr>
          <w:rFonts w:eastAsia="Times New Roman" w:cstheme="minorHAnsi"/>
          <w:b/>
        </w:rPr>
        <w:t xml:space="preserve"> February </w:t>
      </w:r>
      <w:r w:rsidR="005B09A2" w:rsidRPr="00162E7B">
        <w:rPr>
          <w:rFonts w:eastAsia="Times New Roman" w:cstheme="minorHAnsi"/>
          <w:b/>
        </w:rPr>
        <w:t>202</w:t>
      </w:r>
      <w:r w:rsidR="000109C3" w:rsidRPr="00162E7B">
        <w:rPr>
          <w:rFonts w:eastAsia="Times New Roman" w:cstheme="minorHAnsi"/>
          <w:b/>
        </w:rPr>
        <w:t>3</w:t>
      </w:r>
      <w:r w:rsidR="005B09A2" w:rsidRPr="00162E7B">
        <w:rPr>
          <w:rFonts w:eastAsia="Times New Roman" w:cstheme="minorHAnsi"/>
        </w:rPr>
        <w:t>.</w:t>
      </w:r>
    </w:p>
    <w:p w14:paraId="6DDF4A16" w14:textId="77777777" w:rsidR="00955370" w:rsidRPr="00162E7B" w:rsidRDefault="00955370" w:rsidP="00E42CDF">
      <w:pPr>
        <w:tabs>
          <w:tab w:val="left" w:pos="567"/>
          <w:tab w:val="left" w:pos="851"/>
          <w:tab w:val="num" w:pos="1134"/>
          <w:tab w:val="left" w:pos="7371"/>
          <w:tab w:val="left" w:pos="7938"/>
          <w:tab w:val="right" w:pos="8789"/>
        </w:tabs>
        <w:spacing w:after="0" w:line="240" w:lineRule="auto"/>
        <w:jc w:val="both"/>
        <w:rPr>
          <w:rFonts w:cstheme="minorHAnsi"/>
        </w:rPr>
      </w:pPr>
    </w:p>
    <w:p w14:paraId="2A2A2AAD" w14:textId="77777777" w:rsidR="00955370" w:rsidRPr="00162E7B" w:rsidRDefault="00955370" w:rsidP="00E42CDF">
      <w:pPr>
        <w:tabs>
          <w:tab w:val="left" w:pos="567"/>
          <w:tab w:val="left" w:pos="851"/>
          <w:tab w:val="num" w:pos="1134"/>
          <w:tab w:val="left" w:pos="7371"/>
          <w:tab w:val="left" w:pos="7938"/>
          <w:tab w:val="right" w:pos="8789"/>
        </w:tabs>
        <w:spacing w:after="0" w:line="240" w:lineRule="auto"/>
        <w:jc w:val="both"/>
        <w:rPr>
          <w:rFonts w:cstheme="minorHAnsi"/>
        </w:rPr>
      </w:pPr>
    </w:p>
    <w:p w14:paraId="2EB3EBEA" w14:textId="77777777" w:rsidR="00955370" w:rsidRPr="00162E7B" w:rsidRDefault="00955370" w:rsidP="00E42CDF">
      <w:pPr>
        <w:tabs>
          <w:tab w:val="left" w:pos="567"/>
          <w:tab w:val="left" w:pos="851"/>
          <w:tab w:val="num" w:pos="1134"/>
          <w:tab w:val="left" w:pos="7371"/>
          <w:tab w:val="left" w:pos="7938"/>
          <w:tab w:val="right" w:pos="8789"/>
        </w:tabs>
        <w:spacing w:after="0" w:line="240" w:lineRule="auto"/>
        <w:jc w:val="both"/>
        <w:rPr>
          <w:rFonts w:cstheme="minorHAnsi"/>
        </w:rPr>
      </w:pPr>
    </w:p>
    <w:p w14:paraId="476E4B45" w14:textId="77777777" w:rsidR="00955370" w:rsidRPr="00162E7B" w:rsidRDefault="00955370" w:rsidP="00E42CDF">
      <w:pPr>
        <w:tabs>
          <w:tab w:val="left" w:pos="567"/>
          <w:tab w:val="left" w:pos="851"/>
          <w:tab w:val="num" w:pos="1134"/>
          <w:tab w:val="left" w:pos="7371"/>
          <w:tab w:val="left" w:pos="7938"/>
          <w:tab w:val="right" w:pos="8789"/>
        </w:tabs>
        <w:spacing w:after="0" w:line="240" w:lineRule="auto"/>
        <w:jc w:val="both"/>
        <w:rPr>
          <w:rFonts w:cstheme="minorHAnsi"/>
        </w:rPr>
      </w:pPr>
    </w:p>
    <w:p w14:paraId="6D4A790B" w14:textId="77777777" w:rsidR="00955370" w:rsidRPr="00162E7B" w:rsidRDefault="00955370" w:rsidP="00E42CDF">
      <w:pPr>
        <w:tabs>
          <w:tab w:val="left" w:pos="567"/>
          <w:tab w:val="left" w:pos="851"/>
          <w:tab w:val="num" w:pos="1134"/>
          <w:tab w:val="left" w:pos="7371"/>
          <w:tab w:val="left" w:pos="7938"/>
          <w:tab w:val="right" w:pos="8789"/>
        </w:tabs>
        <w:spacing w:after="0" w:line="240" w:lineRule="auto"/>
        <w:jc w:val="both"/>
        <w:rPr>
          <w:rFonts w:cstheme="minorHAnsi"/>
        </w:rPr>
      </w:pPr>
    </w:p>
    <w:p w14:paraId="5D12992D" w14:textId="77777777" w:rsidR="00955370" w:rsidRPr="00162E7B" w:rsidRDefault="00955370" w:rsidP="00E42CDF">
      <w:pPr>
        <w:tabs>
          <w:tab w:val="left" w:pos="567"/>
          <w:tab w:val="left" w:pos="851"/>
          <w:tab w:val="num" w:pos="1134"/>
          <w:tab w:val="left" w:pos="7371"/>
          <w:tab w:val="left" w:pos="7938"/>
          <w:tab w:val="right" w:pos="8789"/>
        </w:tabs>
        <w:spacing w:after="0" w:line="240" w:lineRule="auto"/>
        <w:jc w:val="both"/>
        <w:rPr>
          <w:rFonts w:cstheme="minorHAnsi"/>
        </w:rPr>
      </w:pPr>
    </w:p>
    <w:p w14:paraId="2D8B28B1" w14:textId="77777777" w:rsidR="00955370" w:rsidRPr="00162E7B" w:rsidRDefault="00955370" w:rsidP="00E42CDF">
      <w:pPr>
        <w:tabs>
          <w:tab w:val="left" w:pos="567"/>
          <w:tab w:val="left" w:pos="851"/>
          <w:tab w:val="num" w:pos="1134"/>
          <w:tab w:val="left" w:pos="7371"/>
          <w:tab w:val="left" w:pos="7938"/>
          <w:tab w:val="right" w:pos="8789"/>
        </w:tabs>
        <w:spacing w:after="0" w:line="240" w:lineRule="auto"/>
        <w:jc w:val="both"/>
        <w:rPr>
          <w:rFonts w:cstheme="minorHAnsi"/>
        </w:rPr>
      </w:pPr>
    </w:p>
    <w:p w14:paraId="4EA4E3DE" w14:textId="77777777" w:rsidR="00955370" w:rsidRPr="00162E7B" w:rsidRDefault="00955370" w:rsidP="00E42CDF">
      <w:pPr>
        <w:tabs>
          <w:tab w:val="left" w:pos="567"/>
          <w:tab w:val="left" w:pos="851"/>
          <w:tab w:val="num" w:pos="1134"/>
          <w:tab w:val="left" w:pos="7371"/>
          <w:tab w:val="left" w:pos="7938"/>
          <w:tab w:val="right" w:pos="8789"/>
        </w:tabs>
        <w:spacing w:after="0" w:line="240" w:lineRule="auto"/>
        <w:jc w:val="both"/>
        <w:rPr>
          <w:rFonts w:cstheme="minorHAnsi"/>
        </w:rPr>
      </w:pPr>
    </w:p>
    <w:p w14:paraId="26C6A620" w14:textId="77777777" w:rsidR="00955370" w:rsidRDefault="00955370" w:rsidP="00E42CDF">
      <w:pPr>
        <w:tabs>
          <w:tab w:val="left" w:pos="567"/>
          <w:tab w:val="left" w:pos="851"/>
          <w:tab w:val="num" w:pos="1134"/>
          <w:tab w:val="left" w:pos="7371"/>
          <w:tab w:val="left" w:pos="7938"/>
          <w:tab w:val="right" w:pos="8789"/>
        </w:tabs>
        <w:spacing w:after="0" w:line="240" w:lineRule="auto"/>
        <w:jc w:val="both"/>
        <w:rPr>
          <w:sz w:val="28"/>
          <w:szCs w:val="28"/>
        </w:rPr>
      </w:pPr>
    </w:p>
    <w:p w14:paraId="2DDFD160" w14:textId="77777777" w:rsidR="00955370" w:rsidRDefault="00955370" w:rsidP="00E42CDF">
      <w:pPr>
        <w:tabs>
          <w:tab w:val="left" w:pos="567"/>
          <w:tab w:val="left" w:pos="851"/>
          <w:tab w:val="num" w:pos="1134"/>
          <w:tab w:val="left" w:pos="7371"/>
          <w:tab w:val="left" w:pos="7938"/>
          <w:tab w:val="right" w:pos="8789"/>
        </w:tabs>
        <w:spacing w:after="0" w:line="240" w:lineRule="auto"/>
        <w:jc w:val="both"/>
        <w:rPr>
          <w:sz w:val="28"/>
          <w:szCs w:val="28"/>
        </w:rPr>
      </w:pPr>
    </w:p>
    <w:p w14:paraId="7E7008BE" w14:textId="77777777" w:rsidR="00955370" w:rsidRDefault="00955370" w:rsidP="00E42CDF">
      <w:pPr>
        <w:tabs>
          <w:tab w:val="left" w:pos="567"/>
          <w:tab w:val="left" w:pos="851"/>
          <w:tab w:val="num" w:pos="1134"/>
          <w:tab w:val="left" w:pos="7371"/>
          <w:tab w:val="left" w:pos="7938"/>
          <w:tab w:val="right" w:pos="8789"/>
        </w:tabs>
        <w:spacing w:after="0" w:line="240" w:lineRule="auto"/>
        <w:jc w:val="both"/>
        <w:rPr>
          <w:sz w:val="28"/>
          <w:szCs w:val="28"/>
        </w:rPr>
      </w:pPr>
    </w:p>
    <w:p w14:paraId="2B0C5C0F" w14:textId="77777777" w:rsidR="00955370" w:rsidRDefault="00955370" w:rsidP="00E42CDF">
      <w:pPr>
        <w:tabs>
          <w:tab w:val="left" w:pos="567"/>
          <w:tab w:val="left" w:pos="851"/>
          <w:tab w:val="num" w:pos="1134"/>
          <w:tab w:val="left" w:pos="7371"/>
          <w:tab w:val="left" w:pos="7938"/>
          <w:tab w:val="right" w:pos="8789"/>
        </w:tabs>
        <w:spacing w:after="0" w:line="240" w:lineRule="auto"/>
        <w:jc w:val="both"/>
        <w:rPr>
          <w:sz w:val="28"/>
          <w:szCs w:val="28"/>
        </w:rPr>
      </w:pPr>
    </w:p>
    <w:p w14:paraId="143468D2" w14:textId="77777777" w:rsidR="00955370" w:rsidRDefault="00955370" w:rsidP="00E42CDF">
      <w:pPr>
        <w:tabs>
          <w:tab w:val="left" w:pos="567"/>
          <w:tab w:val="left" w:pos="851"/>
          <w:tab w:val="num" w:pos="1134"/>
          <w:tab w:val="left" w:pos="7371"/>
          <w:tab w:val="left" w:pos="7938"/>
          <w:tab w:val="right" w:pos="8789"/>
        </w:tabs>
        <w:spacing w:after="0" w:line="240" w:lineRule="auto"/>
        <w:jc w:val="both"/>
        <w:rPr>
          <w:sz w:val="28"/>
          <w:szCs w:val="28"/>
        </w:rPr>
      </w:pPr>
    </w:p>
    <w:p w14:paraId="39A5EAB3" w14:textId="77777777" w:rsidR="00955370" w:rsidRDefault="00955370" w:rsidP="00E42CDF">
      <w:pPr>
        <w:tabs>
          <w:tab w:val="left" w:pos="567"/>
          <w:tab w:val="left" w:pos="851"/>
          <w:tab w:val="num" w:pos="1134"/>
          <w:tab w:val="left" w:pos="7371"/>
          <w:tab w:val="left" w:pos="7938"/>
          <w:tab w:val="right" w:pos="8789"/>
        </w:tabs>
        <w:spacing w:after="0" w:line="240" w:lineRule="auto"/>
        <w:jc w:val="both"/>
        <w:rPr>
          <w:sz w:val="28"/>
          <w:szCs w:val="28"/>
        </w:rPr>
      </w:pPr>
    </w:p>
    <w:sectPr w:rsidR="00955370" w:rsidSect="00523A73">
      <w:headerReference w:type="default" r:id="rId11"/>
      <w:pgSz w:w="11906" w:h="16838" w:code="9"/>
      <w:pgMar w:top="1440" w:right="566" w:bottom="1361" w:left="1560" w:header="79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F3D98" w14:textId="77777777" w:rsidR="00546F86" w:rsidRDefault="00546F86" w:rsidP="0088261E">
      <w:pPr>
        <w:spacing w:after="0" w:line="240" w:lineRule="auto"/>
      </w:pPr>
      <w:r>
        <w:separator/>
      </w:r>
    </w:p>
  </w:endnote>
  <w:endnote w:type="continuationSeparator" w:id="0">
    <w:p w14:paraId="05143B25" w14:textId="77777777" w:rsidR="00546F86" w:rsidRDefault="00546F86" w:rsidP="0088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B7AD6" w14:textId="77777777" w:rsidR="00546F86" w:rsidRDefault="00546F86" w:rsidP="0088261E">
      <w:pPr>
        <w:spacing w:after="0" w:line="240" w:lineRule="auto"/>
      </w:pPr>
      <w:r>
        <w:separator/>
      </w:r>
    </w:p>
  </w:footnote>
  <w:footnote w:type="continuationSeparator" w:id="0">
    <w:p w14:paraId="57618AEB" w14:textId="77777777" w:rsidR="00546F86" w:rsidRDefault="00546F86" w:rsidP="0088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1B40B" w14:textId="77777777" w:rsidR="001455D3" w:rsidRDefault="00106687" w:rsidP="001455D3">
    <w:pPr>
      <w:pStyle w:val="Header"/>
      <w:rPr>
        <w:rFonts w:ascii="Copperplate Gothic Bold" w:hAnsi="Copperplate Gothic Bold"/>
      </w:rPr>
    </w:pPr>
    <w:r>
      <w:rPr>
        <w:noProof/>
        <w:lang w:eastAsia="en-GB"/>
      </w:rPr>
      <w:drawing>
        <wp:anchor distT="0" distB="0" distL="114300" distR="114300" simplePos="0" relativeHeight="251657216" behindDoc="1" locked="0" layoutInCell="1" allowOverlap="1" wp14:anchorId="4117F89A" wp14:editId="4FA8FE71">
          <wp:simplePos x="0" y="0"/>
          <wp:positionH relativeFrom="margin">
            <wp:align>left</wp:align>
          </wp:positionH>
          <wp:positionV relativeFrom="paragraph">
            <wp:posOffset>-229235</wp:posOffset>
          </wp:positionV>
          <wp:extent cx="2109230" cy="694267"/>
          <wp:effectExtent l="0" t="0" r="571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p w14:paraId="1964E899" w14:textId="77777777" w:rsidR="0088261E" w:rsidRPr="00A937B2" w:rsidRDefault="001455D3" w:rsidP="001455D3">
    <w:pPr>
      <w:pStyle w:val="Header"/>
      <w:tabs>
        <w:tab w:val="clear" w:pos="9026"/>
        <w:tab w:val="right" w:pos="5529"/>
      </w:tabs>
      <w:rPr>
        <w:rFonts w:ascii="Broadway" w:hAnsi="Broadway"/>
      </w:rPr>
    </w:pPr>
    <w:r>
      <w:rPr>
        <w:rFonts w:ascii="Copperplate Gothic Bold" w:hAnsi="Copperplate Gothic Bold"/>
      </w:rPr>
      <w:tab/>
    </w:r>
    <w:r w:rsidR="00610723">
      <w:rPr>
        <w:rFonts w:ascii="Copperplate Gothic Bold" w:hAnsi="Copperplate Gothic Bol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B0A"/>
    <w:multiLevelType w:val="hybridMultilevel"/>
    <w:tmpl w:val="F3408986"/>
    <w:lvl w:ilvl="0" w:tplc="9FD05576">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15:restartNumberingAfterBreak="0">
    <w:nsid w:val="00F84BD2"/>
    <w:multiLevelType w:val="hybridMultilevel"/>
    <w:tmpl w:val="8FA408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17032"/>
    <w:multiLevelType w:val="hybridMultilevel"/>
    <w:tmpl w:val="BB78603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F700165"/>
    <w:multiLevelType w:val="hybridMultilevel"/>
    <w:tmpl w:val="3A3C9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2C0947"/>
    <w:multiLevelType w:val="hybridMultilevel"/>
    <w:tmpl w:val="1EC4A204"/>
    <w:lvl w:ilvl="0" w:tplc="C374CD86">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 w15:restartNumberingAfterBreak="0">
    <w:nsid w:val="259D2C26"/>
    <w:multiLevelType w:val="hybridMultilevel"/>
    <w:tmpl w:val="DAB62AA6"/>
    <w:lvl w:ilvl="0" w:tplc="3D80D95A">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6" w15:restartNumberingAfterBreak="0">
    <w:nsid w:val="2FFB6F21"/>
    <w:multiLevelType w:val="hybridMultilevel"/>
    <w:tmpl w:val="252A1A02"/>
    <w:lvl w:ilvl="0" w:tplc="3306FBE4">
      <w:start w:val="1"/>
      <w:numFmt w:val="decimal"/>
      <w:lvlText w:val="%1."/>
      <w:lvlJc w:val="left"/>
      <w:pPr>
        <w:ind w:left="930" w:hanging="360"/>
      </w:pPr>
      <w:rPr>
        <w:rFonts w:eastAsia="Times New Roman" w:cstheme="minorHAnsi" w:hint="default"/>
        <w:b/>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7" w15:restartNumberingAfterBreak="0">
    <w:nsid w:val="30365690"/>
    <w:multiLevelType w:val="hybridMultilevel"/>
    <w:tmpl w:val="27DCA80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61D2621"/>
    <w:multiLevelType w:val="hybridMultilevel"/>
    <w:tmpl w:val="DAB0382C"/>
    <w:lvl w:ilvl="0" w:tplc="8DAC9202">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9" w15:restartNumberingAfterBreak="0">
    <w:nsid w:val="38B125AA"/>
    <w:multiLevelType w:val="hybridMultilevel"/>
    <w:tmpl w:val="B5786726"/>
    <w:lvl w:ilvl="0" w:tplc="66425EC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0" w15:restartNumberingAfterBreak="0">
    <w:nsid w:val="420D1C7C"/>
    <w:multiLevelType w:val="hybridMultilevel"/>
    <w:tmpl w:val="CC9856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05390"/>
    <w:multiLevelType w:val="hybridMultilevel"/>
    <w:tmpl w:val="142E8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C8F46B0"/>
    <w:multiLevelType w:val="hybridMultilevel"/>
    <w:tmpl w:val="24483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47CA4"/>
    <w:multiLevelType w:val="hybridMultilevel"/>
    <w:tmpl w:val="89CC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E138ED"/>
    <w:multiLevelType w:val="hybridMultilevel"/>
    <w:tmpl w:val="5AF60DB2"/>
    <w:lvl w:ilvl="0" w:tplc="0809000B">
      <w:start w:val="1"/>
      <w:numFmt w:val="bullet"/>
      <w:lvlText w:val=""/>
      <w:lvlJc w:val="left"/>
      <w:pPr>
        <w:ind w:left="3795" w:hanging="360"/>
      </w:pPr>
      <w:rPr>
        <w:rFonts w:ascii="Wingdings" w:hAnsi="Wingdings" w:hint="default"/>
      </w:rPr>
    </w:lvl>
    <w:lvl w:ilvl="1" w:tplc="08090003" w:tentative="1">
      <w:start w:val="1"/>
      <w:numFmt w:val="bullet"/>
      <w:lvlText w:val="o"/>
      <w:lvlJc w:val="left"/>
      <w:pPr>
        <w:ind w:left="4515" w:hanging="360"/>
      </w:pPr>
      <w:rPr>
        <w:rFonts w:ascii="Courier New" w:hAnsi="Courier New" w:cs="Courier New" w:hint="default"/>
      </w:rPr>
    </w:lvl>
    <w:lvl w:ilvl="2" w:tplc="08090005" w:tentative="1">
      <w:start w:val="1"/>
      <w:numFmt w:val="bullet"/>
      <w:lvlText w:val=""/>
      <w:lvlJc w:val="left"/>
      <w:pPr>
        <w:ind w:left="5235" w:hanging="360"/>
      </w:pPr>
      <w:rPr>
        <w:rFonts w:ascii="Wingdings" w:hAnsi="Wingdings" w:hint="default"/>
      </w:rPr>
    </w:lvl>
    <w:lvl w:ilvl="3" w:tplc="08090001" w:tentative="1">
      <w:start w:val="1"/>
      <w:numFmt w:val="bullet"/>
      <w:lvlText w:val=""/>
      <w:lvlJc w:val="left"/>
      <w:pPr>
        <w:ind w:left="5955" w:hanging="360"/>
      </w:pPr>
      <w:rPr>
        <w:rFonts w:ascii="Symbol" w:hAnsi="Symbol" w:hint="default"/>
      </w:rPr>
    </w:lvl>
    <w:lvl w:ilvl="4" w:tplc="08090003" w:tentative="1">
      <w:start w:val="1"/>
      <w:numFmt w:val="bullet"/>
      <w:lvlText w:val="o"/>
      <w:lvlJc w:val="left"/>
      <w:pPr>
        <w:ind w:left="6675" w:hanging="360"/>
      </w:pPr>
      <w:rPr>
        <w:rFonts w:ascii="Courier New" w:hAnsi="Courier New" w:cs="Courier New" w:hint="default"/>
      </w:rPr>
    </w:lvl>
    <w:lvl w:ilvl="5" w:tplc="08090005" w:tentative="1">
      <w:start w:val="1"/>
      <w:numFmt w:val="bullet"/>
      <w:lvlText w:val=""/>
      <w:lvlJc w:val="left"/>
      <w:pPr>
        <w:ind w:left="7395" w:hanging="360"/>
      </w:pPr>
      <w:rPr>
        <w:rFonts w:ascii="Wingdings" w:hAnsi="Wingdings" w:hint="default"/>
      </w:rPr>
    </w:lvl>
    <w:lvl w:ilvl="6" w:tplc="08090001" w:tentative="1">
      <w:start w:val="1"/>
      <w:numFmt w:val="bullet"/>
      <w:lvlText w:val=""/>
      <w:lvlJc w:val="left"/>
      <w:pPr>
        <w:ind w:left="8115" w:hanging="360"/>
      </w:pPr>
      <w:rPr>
        <w:rFonts w:ascii="Symbol" w:hAnsi="Symbol" w:hint="default"/>
      </w:rPr>
    </w:lvl>
    <w:lvl w:ilvl="7" w:tplc="08090003" w:tentative="1">
      <w:start w:val="1"/>
      <w:numFmt w:val="bullet"/>
      <w:lvlText w:val="o"/>
      <w:lvlJc w:val="left"/>
      <w:pPr>
        <w:ind w:left="8835" w:hanging="360"/>
      </w:pPr>
      <w:rPr>
        <w:rFonts w:ascii="Courier New" w:hAnsi="Courier New" w:cs="Courier New" w:hint="default"/>
      </w:rPr>
    </w:lvl>
    <w:lvl w:ilvl="8" w:tplc="08090005" w:tentative="1">
      <w:start w:val="1"/>
      <w:numFmt w:val="bullet"/>
      <w:lvlText w:val=""/>
      <w:lvlJc w:val="left"/>
      <w:pPr>
        <w:ind w:left="9555" w:hanging="360"/>
      </w:pPr>
      <w:rPr>
        <w:rFonts w:ascii="Wingdings" w:hAnsi="Wingdings" w:hint="default"/>
      </w:rPr>
    </w:lvl>
  </w:abstractNum>
  <w:abstractNum w:abstractNumId="15" w15:restartNumberingAfterBreak="0">
    <w:nsid w:val="58B27862"/>
    <w:multiLevelType w:val="hybridMultilevel"/>
    <w:tmpl w:val="3052FE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D67AAB"/>
    <w:multiLevelType w:val="hybridMultilevel"/>
    <w:tmpl w:val="8E72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D3D11"/>
    <w:multiLevelType w:val="hybridMultilevel"/>
    <w:tmpl w:val="02EEBF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76662"/>
    <w:multiLevelType w:val="hybridMultilevel"/>
    <w:tmpl w:val="F25C7E72"/>
    <w:lvl w:ilvl="0" w:tplc="650E5ACE">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9" w15:restartNumberingAfterBreak="0">
    <w:nsid w:val="646B2929"/>
    <w:multiLevelType w:val="hybridMultilevel"/>
    <w:tmpl w:val="5E18390C"/>
    <w:lvl w:ilvl="0" w:tplc="F97E0C68">
      <w:start w:val="1"/>
      <w:numFmt w:val="decimal"/>
      <w:lvlText w:val="%1."/>
      <w:lvlJc w:val="left"/>
      <w:pPr>
        <w:ind w:left="930" w:hanging="360"/>
      </w:pPr>
      <w:rPr>
        <w:rFonts w:hint="default"/>
      </w:r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20" w15:restartNumberingAfterBreak="0">
    <w:nsid w:val="6AB205A3"/>
    <w:multiLevelType w:val="hybridMultilevel"/>
    <w:tmpl w:val="01F2E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66714"/>
    <w:multiLevelType w:val="hybridMultilevel"/>
    <w:tmpl w:val="4C86313A"/>
    <w:lvl w:ilvl="0" w:tplc="08090001">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22" w15:restartNumberingAfterBreak="0">
    <w:nsid w:val="714D5A3A"/>
    <w:multiLevelType w:val="hybridMultilevel"/>
    <w:tmpl w:val="461880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23D6985"/>
    <w:multiLevelType w:val="hybridMultilevel"/>
    <w:tmpl w:val="DFAC5C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7308521A"/>
    <w:multiLevelType w:val="hybridMultilevel"/>
    <w:tmpl w:val="9B128512"/>
    <w:lvl w:ilvl="0" w:tplc="8D42B1C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958672B"/>
    <w:multiLevelType w:val="hybridMultilevel"/>
    <w:tmpl w:val="BBD20B96"/>
    <w:lvl w:ilvl="0" w:tplc="555C4572">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6" w15:restartNumberingAfterBreak="0">
    <w:nsid w:val="79F86D24"/>
    <w:multiLevelType w:val="hybridMultilevel"/>
    <w:tmpl w:val="3484FAF2"/>
    <w:lvl w:ilvl="0" w:tplc="0409000F">
      <w:start w:val="1"/>
      <w:numFmt w:val="decimal"/>
      <w:lvlText w:val="%1."/>
      <w:lvlJc w:val="left"/>
      <w:pPr>
        <w:tabs>
          <w:tab w:val="num" w:pos="1080"/>
        </w:tabs>
        <w:ind w:left="1080" w:hanging="360"/>
      </w:pPr>
    </w:lvl>
    <w:lvl w:ilvl="1" w:tplc="CE9EFED4">
      <w:start w:val="10"/>
      <w:numFmt w:val="decimal"/>
      <w:lvlText w:val="%2"/>
      <w:lvlJc w:val="left"/>
      <w:pPr>
        <w:tabs>
          <w:tab w:val="num" w:pos="2010"/>
        </w:tabs>
        <w:ind w:left="2010" w:hanging="57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B27635F"/>
    <w:multiLevelType w:val="hybridMultilevel"/>
    <w:tmpl w:val="BD94629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15"/>
  </w:num>
  <w:num w:numId="2">
    <w:abstractNumId w:val="22"/>
  </w:num>
  <w:num w:numId="3">
    <w:abstractNumId w:val="2"/>
  </w:num>
  <w:num w:numId="4">
    <w:abstractNumId w:val="21"/>
  </w:num>
  <w:num w:numId="5">
    <w:abstractNumId w:val="17"/>
  </w:num>
  <w:num w:numId="6">
    <w:abstractNumId w:val="14"/>
  </w:num>
  <w:num w:numId="7">
    <w:abstractNumId w:val="1"/>
  </w:num>
  <w:num w:numId="8">
    <w:abstractNumId w:val="26"/>
  </w:num>
  <w:num w:numId="9">
    <w:abstractNumId w:val="0"/>
  </w:num>
  <w:num w:numId="10">
    <w:abstractNumId w:val="6"/>
  </w:num>
  <w:num w:numId="11">
    <w:abstractNumId w:val="18"/>
  </w:num>
  <w:num w:numId="12">
    <w:abstractNumId w:val="5"/>
  </w:num>
  <w:num w:numId="13">
    <w:abstractNumId w:val="8"/>
  </w:num>
  <w:num w:numId="14">
    <w:abstractNumId w:val="9"/>
  </w:num>
  <w:num w:numId="15">
    <w:abstractNumId w:val="4"/>
  </w:num>
  <w:num w:numId="16">
    <w:abstractNumId w:val="19"/>
  </w:num>
  <w:num w:numId="17">
    <w:abstractNumId w:val="25"/>
  </w:num>
  <w:num w:numId="18">
    <w:abstractNumId w:val="3"/>
  </w:num>
  <w:num w:numId="19">
    <w:abstractNumId w:val="11"/>
  </w:num>
  <w:num w:numId="20">
    <w:abstractNumId w:val="24"/>
  </w:num>
  <w:num w:numId="21">
    <w:abstractNumId w:val="12"/>
  </w:num>
  <w:num w:numId="22">
    <w:abstractNumId w:val="13"/>
  </w:num>
  <w:num w:numId="23">
    <w:abstractNumId w:val="27"/>
  </w:num>
  <w:num w:numId="24">
    <w:abstractNumId w:val="10"/>
  </w:num>
  <w:num w:numId="25">
    <w:abstractNumId w:val="20"/>
  </w:num>
  <w:num w:numId="26">
    <w:abstractNumId w:val="16"/>
  </w:num>
  <w:num w:numId="27">
    <w:abstractNumId w:val="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49"/>
    <w:rsid w:val="00005202"/>
    <w:rsid w:val="000075FA"/>
    <w:rsid w:val="000109C3"/>
    <w:rsid w:val="00011309"/>
    <w:rsid w:val="000129CE"/>
    <w:rsid w:val="00015CED"/>
    <w:rsid w:val="000205A9"/>
    <w:rsid w:val="00024801"/>
    <w:rsid w:val="0002545E"/>
    <w:rsid w:val="000370F0"/>
    <w:rsid w:val="00037187"/>
    <w:rsid w:val="0003787C"/>
    <w:rsid w:val="00044F36"/>
    <w:rsid w:val="00055600"/>
    <w:rsid w:val="00056286"/>
    <w:rsid w:val="00056771"/>
    <w:rsid w:val="00063704"/>
    <w:rsid w:val="00065283"/>
    <w:rsid w:val="00067836"/>
    <w:rsid w:val="00073AA5"/>
    <w:rsid w:val="0007487C"/>
    <w:rsid w:val="00074F5E"/>
    <w:rsid w:val="00077C66"/>
    <w:rsid w:val="00080E5E"/>
    <w:rsid w:val="0008107D"/>
    <w:rsid w:val="00083411"/>
    <w:rsid w:val="0008717D"/>
    <w:rsid w:val="000911B4"/>
    <w:rsid w:val="00095768"/>
    <w:rsid w:val="000A5B1E"/>
    <w:rsid w:val="000A678A"/>
    <w:rsid w:val="000B0689"/>
    <w:rsid w:val="000B0AC3"/>
    <w:rsid w:val="000B11F7"/>
    <w:rsid w:val="000B7792"/>
    <w:rsid w:val="000C33B3"/>
    <w:rsid w:val="000C6C9F"/>
    <w:rsid w:val="000D012F"/>
    <w:rsid w:val="000D1E51"/>
    <w:rsid w:val="000D3426"/>
    <w:rsid w:val="000D612E"/>
    <w:rsid w:val="000D7C66"/>
    <w:rsid w:val="000E78BA"/>
    <w:rsid w:val="000F27FF"/>
    <w:rsid w:val="000F4A40"/>
    <w:rsid w:val="000F4D33"/>
    <w:rsid w:val="00101009"/>
    <w:rsid w:val="001027BC"/>
    <w:rsid w:val="00106687"/>
    <w:rsid w:val="00121630"/>
    <w:rsid w:val="0013208E"/>
    <w:rsid w:val="00132B83"/>
    <w:rsid w:val="001334F2"/>
    <w:rsid w:val="0013742E"/>
    <w:rsid w:val="0014159B"/>
    <w:rsid w:val="001455D3"/>
    <w:rsid w:val="001529A1"/>
    <w:rsid w:val="00152A8C"/>
    <w:rsid w:val="0015396E"/>
    <w:rsid w:val="001613EC"/>
    <w:rsid w:val="00162E7B"/>
    <w:rsid w:val="00166F2A"/>
    <w:rsid w:val="001760E1"/>
    <w:rsid w:val="00182349"/>
    <w:rsid w:val="001906AD"/>
    <w:rsid w:val="0019088C"/>
    <w:rsid w:val="001922F4"/>
    <w:rsid w:val="001A1105"/>
    <w:rsid w:val="001A7216"/>
    <w:rsid w:val="001B0EBD"/>
    <w:rsid w:val="001B1583"/>
    <w:rsid w:val="001C44ED"/>
    <w:rsid w:val="001C5FF5"/>
    <w:rsid w:val="001C7B71"/>
    <w:rsid w:val="001E09E4"/>
    <w:rsid w:val="001E584A"/>
    <w:rsid w:val="001F153E"/>
    <w:rsid w:val="001F3C0B"/>
    <w:rsid w:val="001F3D14"/>
    <w:rsid w:val="001F5625"/>
    <w:rsid w:val="0020115D"/>
    <w:rsid w:val="0020245D"/>
    <w:rsid w:val="002058AE"/>
    <w:rsid w:val="00210644"/>
    <w:rsid w:val="002108B0"/>
    <w:rsid w:val="00217E9A"/>
    <w:rsid w:val="00222235"/>
    <w:rsid w:val="002243CC"/>
    <w:rsid w:val="00225AEB"/>
    <w:rsid w:val="00227DB5"/>
    <w:rsid w:val="00237049"/>
    <w:rsid w:val="00243EB5"/>
    <w:rsid w:val="00245526"/>
    <w:rsid w:val="002506F3"/>
    <w:rsid w:val="0025386B"/>
    <w:rsid w:val="0026175C"/>
    <w:rsid w:val="00262B26"/>
    <w:rsid w:val="002712AA"/>
    <w:rsid w:val="0027356B"/>
    <w:rsid w:val="002740E3"/>
    <w:rsid w:val="00275B91"/>
    <w:rsid w:val="002829E6"/>
    <w:rsid w:val="00285B19"/>
    <w:rsid w:val="002874AE"/>
    <w:rsid w:val="002877D1"/>
    <w:rsid w:val="00291550"/>
    <w:rsid w:val="00291FD9"/>
    <w:rsid w:val="002A3381"/>
    <w:rsid w:val="002A45AA"/>
    <w:rsid w:val="002A5830"/>
    <w:rsid w:val="002B02DF"/>
    <w:rsid w:val="002C5351"/>
    <w:rsid w:val="002C6576"/>
    <w:rsid w:val="002D0679"/>
    <w:rsid w:val="002D0F76"/>
    <w:rsid w:val="002D19E7"/>
    <w:rsid w:val="002D3695"/>
    <w:rsid w:val="002D6D2B"/>
    <w:rsid w:val="002F201A"/>
    <w:rsid w:val="002F3E31"/>
    <w:rsid w:val="003001F8"/>
    <w:rsid w:val="00301B8D"/>
    <w:rsid w:val="00302029"/>
    <w:rsid w:val="003072F8"/>
    <w:rsid w:val="003127EC"/>
    <w:rsid w:val="00313B2E"/>
    <w:rsid w:val="0031626A"/>
    <w:rsid w:val="003219EF"/>
    <w:rsid w:val="00323D23"/>
    <w:rsid w:val="00324E57"/>
    <w:rsid w:val="00330FF7"/>
    <w:rsid w:val="003364DE"/>
    <w:rsid w:val="00340285"/>
    <w:rsid w:val="003439E8"/>
    <w:rsid w:val="00343D9E"/>
    <w:rsid w:val="0035445B"/>
    <w:rsid w:val="00355D39"/>
    <w:rsid w:val="003612B1"/>
    <w:rsid w:val="00364C64"/>
    <w:rsid w:val="00364D8A"/>
    <w:rsid w:val="00371337"/>
    <w:rsid w:val="00371B10"/>
    <w:rsid w:val="0037575C"/>
    <w:rsid w:val="00383988"/>
    <w:rsid w:val="00385C3A"/>
    <w:rsid w:val="0039257A"/>
    <w:rsid w:val="00393109"/>
    <w:rsid w:val="003946DB"/>
    <w:rsid w:val="00395403"/>
    <w:rsid w:val="00397A89"/>
    <w:rsid w:val="00397AE6"/>
    <w:rsid w:val="003A5B13"/>
    <w:rsid w:val="003A70EE"/>
    <w:rsid w:val="003B163B"/>
    <w:rsid w:val="003B3173"/>
    <w:rsid w:val="003B3B8F"/>
    <w:rsid w:val="003B6E72"/>
    <w:rsid w:val="003C3E5E"/>
    <w:rsid w:val="003C40F8"/>
    <w:rsid w:val="003C47B5"/>
    <w:rsid w:val="003C655C"/>
    <w:rsid w:val="003D3B78"/>
    <w:rsid w:val="003D4CBD"/>
    <w:rsid w:val="003D54D7"/>
    <w:rsid w:val="003E04C5"/>
    <w:rsid w:val="003E40F5"/>
    <w:rsid w:val="003E5296"/>
    <w:rsid w:val="003F1E0F"/>
    <w:rsid w:val="003F23A7"/>
    <w:rsid w:val="003F3F29"/>
    <w:rsid w:val="00401C71"/>
    <w:rsid w:val="0040283A"/>
    <w:rsid w:val="00404DCF"/>
    <w:rsid w:val="00411878"/>
    <w:rsid w:val="004126BE"/>
    <w:rsid w:val="0041271A"/>
    <w:rsid w:val="00421F34"/>
    <w:rsid w:val="004229CB"/>
    <w:rsid w:val="00425435"/>
    <w:rsid w:val="004274AA"/>
    <w:rsid w:val="00427968"/>
    <w:rsid w:val="004353EC"/>
    <w:rsid w:val="0044004E"/>
    <w:rsid w:val="00441BC3"/>
    <w:rsid w:val="004472D3"/>
    <w:rsid w:val="004506A2"/>
    <w:rsid w:val="00450DD5"/>
    <w:rsid w:val="004522E4"/>
    <w:rsid w:val="004625CC"/>
    <w:rsid w:val="00464327"/>
    <w:rsid w:val="004673BE"/>
    <w:rsid w:val="00491ED8"/>
    <w:rsid w:val="00496C97"/>
    <w:rsid w:val="004A167B"/>
    <w:rsid w:val="004A7A60"/>
    <w:rsid w:val="004B1C2B"/>
    <w:rsid w:val="004B6521"/>
    <w:rsid w:val="004C10CF"/>
    <w:rsid w:val="004C25D6"/>
    <w:rsid w:val="004D3B46"/>
    <w:rsid w:val="004D5C62"/>
    <w:rsid w:val="004D6A8D"/>
    <w:rsid w:val="004E026D"/>
    <w:rsid w:val="004E1C96"/>
    <w:rsid w:val="004F38E8"/>
    <w:rsid w:val="004F5AD5"/>
    <w:rsid w:val="005006ED"/>
    <w:rsid w:val="00502B04"/>
    <w:rsid w:val="00510D21"/>
    <w:rsid w:val="00523A73"/>
    <w:rsid w:val="00526128"/>
    <w:rsid w:val="00530F00"/>
    <w:rsid w:val="00532D64"/>
    <w:rsid w:val="00533BE5"/>
    <w:rsid w:val="0054103C"/>
    <w:rsid w:val="005426AF"/>
    <w:rsid w:val="005459BE"/>
    <w:rsid w:val="00546F86"/>
    <w:rsid w:val="005510F1"/>
    <w:rsid w:val="00554E6B"/>
    <w:rsid w:val="00555FAA"/>
    <w:rsid w:val="0055713B"/>
    <w:rsid w:val="00566A66"/>
    <w:rsid w:val="005809A3"/>
    <w:rsid w:val="00583236"/>
    <w:rsid w:val="00583ACE"/>
    <w:rsid w:val="00584776"/>
    <w:rsid w:val="00585347"/>
    <w:rsid w:val="00587507"/>
    <w:rsid w:val="00594549"/>
    <w:rsid w:val="005A0077"/>
    <w:rsid w:val="005A37BF"/>
    <w:rsid w:val="005B09A2"/>
    <w:rsid w:val="005B39E7"/>
    <w:rsid w:val="005B6D82"/>
    <w:rsid w:val="005C0F90"/>
    <w:rsid w:val="005C1961"/>
    <w:rsid w:val="005C1AEF"/>
    <w:rsid w:val="005C4A5C"/>
    <w:rsid w:val="005C6495"/>
    <w:rsid w:val="005C7DBC"/>
    <w:rsid w:val="005C7FEB"/>
    <w:rsid w:val="005D0AD0"/>
    <w:rsid w:val="005D1CCD"/>
    <w:rsid w:val="005D6D73"/>
    <w:rsid w:val="005E1619"/>
    <w:rsid w:val="005E2189"/>
    <w:rsid w:val="005E54E1"/>
    <w:rsid w:val="005E6047"/>
    <w:rsid w:val="005E6D6D"/>
    <w:rsid w:val="005F38B7"/>
    <w:rsid w:val="006005FF"/>
    <w:rsid w:val="00603E25"/>
    <w:rsid w:val="00607341"/>
    <w:rsid w:val="00607C6B"/>
    <w:rsid w:val="00610723"/>
    <w:rsid w:val="00615EEF"/>
    <w:rsid w:val="006222CF"/>
    <w:rsid w:val="006230EE"/>
    <w:rsid w:val="0063074F"/>
    <w:rsid w:val="00631A05"/>
    <w:rsid w:val="00650492"/>
    <w:rsid w:val="0065333F"/>
    <w:rsid w:val="00660EC1"/>
    <w:rsid w:val="00662C22"/>
    <w:rsid w:val="00662C5F"/>
    <w:rsid w:val="00665752"/>
    <w:rsid w:val="00676FEE"/>
    <w:rsid w:val="0068262D"/>
    <w:rsid w:val="00683904"/>
    <w:rsid w:val="00694FDE"/>
    <w:rsid w:val="00697060"/>
    <w:rsid w:val="006A4B4D"/>
    <w:rsid w:val="006A696B"/>
    <w:rsid w:val="006A7A72"/>
    <w:rsid w:val="006B12B2"/>
    <w:rsid w:val="006B2649"/>
    <w:rsid w:val="006C00E3"/>
    <w:rsid w:val="006C34A1"/>
    <w:rsid w:val="006D0D32"/>
    <w:rsid w:val="006D0D33"/>
    <w:rsid w:val="006E6F20"/>
    <w:rsid w:val="006F2E3C"/>
    <w:rsid w:val="006F401A"/>
    <w:rsid w:val="006F5186"/>
    <w:rsid w:val="006F6082"/>
    <w:rsid w:val="006F7FAF"/>
    <w:rsid w:val="00700222"/>
    <w:rsid w:val="00711F0F"/>
    <w:rsid w:val="00724A25"/>
    <w:rsid w:val="007408A9"/>
    <w:rsid w:val="00743236"/>
    <w:rsid w:val="00775777"/>
    <w:rsid w:val="00783391"/>
    <w:rsid w:val="00784298"/>
    <w:rsid w:val="00784BBE"/>
    <w:rsid w:val="00786C39"/>
    <w:rsid w:val="00790137"/>
    <w:rsid w:val="007901BB"/>
    <w:rsid w:val="0079288E"/>
    <w:rsid w:val="007931D8"/>
    <w:rsid w:val="007A43F3"/>
    <w:rsid w:val="007A46EF"/>
    <w:rsid w:val="007A6DEC"/>
    <w:rsid w:val="007B6B00"/>
    <w:rsid w:val="007D34F1"/>
    <w:rsid w:val="007D5888"/>
    <w:rsid w:val="007E01E1"/>
    <w:rsid w:val="007E040B"/>
    <w:rsid w:val="007E7CD0"/>
    <w:rsid w:val="007F255A"/>
    <w:rsid w:val="007F5787"/>
    <w:rsid w:val="0080424F"/>
    <w:rsid w:val="00804DDE"/>
    <w:rsid w:val="0080745E"/>
    <w:rsid w:val="0080750E"/>
    <w:rsid w:val="0081219A"/>
    <w:rsid w:val="00812B8E"/>
    <w:rsid w:val="00817D30"/>
    <w:rsid w:val="00820CD4"/>
    <w:rsid w:val="0082228C"/>
    <w:rsid w:val="00825FF3"/>
    <w:rsid w:val="008263C3"/>
    <w:rsid w:val="008277DB"/>
    <w:rsid w:val="00827FC5"/>
    <w:rsid w:val="0083140E"/>
    <w:rsid w:val="0083405A"/>
    <w:rsid w:val="00834508"/>
    <w:rsid w:val="008423F6"/>
    <w:rsid w:val="00843AB8"/>
    <w:rsid w:val="00844760"/>
    <w:rsid w:val="008669C2"/>
    <w:rsid w:val="008751D6"/>
    <w:rsid w:val="00876A3E"/>
    <w:rsid w:val="008800D7"/>
    <w:rsid w:val="0088261E"/>
    <w:rsid w:val="00886A5F"/>
    <w:rsid w:val="00887B9C"/>
    <w:rsid w:val="00887C4B"/>
    <w:rsid w:val="00890071"/>
    <w:rsid w:val="008908FD"/>
    <w:rsid w:val="00891A30"/>
    <w:rsid w:val="00894B7C"/>
    <w:rsid w:val="008958D4"/>
    <w:rsid w:val="008A24E2"/>
    <w:rsid w:val="008A586F"/>
    <w:rsid w:val="008A7F13"/>
    <w:rsid w:val="008B2B88"/>
    <w:rsid w:val="008C5E1F"/>
    <w:rsid w:val="008D1637"/>
    <w:rsid w:val="008D279E"/>
    <w:rsid w:val="008D4D03"/>
    <w:rsid w:val="008E21A5"/>
    <w:rsid w:val="008E60F7"/>
    <w:rsid w:val="008E6E5C"/>
    <w:rsid w:val="008F0557"/>
    <w:rsid w:val="008F58F4"/>
    <w:rsid w:val="008F7519"/>
    <w:rsid w:val="00906E90"/>
    <w:rsid w:val="00914044"/>
    <w:rsid w:val="00915267"/>
    <w:rsid w:val="00917193"/>
    <w:rsid w:val="009201AC"/>
    <w:rsid w:val="00922633"/>
    <w:rsid w:val="0092294E"/>
    <w:rsid w:val="00926E5E"/>
    <w:rsid w:val="00934E37"/>
    <w:rsid w:val="0095276E"/>
    <w:rsid w:val="00955370"/>
    <w:rsid w:val="009702A8"/>
    <w:rsid w:val="0097382A"/>
    <w:rsid w:val="00974DFB"/>
    <w:rsid w:val="00982BC7"/>
    <w:rsid w:val="009A08F5"/>
    <w:rsid w:val="009A49B7"/>
    <w:rsid w:val="009B6FB3"/>
    <w:rsid w:val="009B6FED"/>
    <w:rsid w:val="009C34F4"/>
    <w:rsid w:val="009D461F"/>
    <w:rsid w:val="009D5D69"/>
    <w:rsid w:val="009D6F7C"/>
    <w:rsid w:val="009D7079"/>
    <w:rsid w:val="009E19EF"/>
    <w:rsid w:val="009E3340"/>
    <w:rsid w:val="009E523C"/>
    <w:rsid w:val="009E7D62"/>
    <w:rsid w:val="009F0F23"/>
    <w:rsid w:val="00A01930"/>
    <w:rsid w:val="00A01942"/>
    <w:rsid w:val="00A02BEE"/>
    <w:rsid w:val="00A05EB0"/>
    <w:rsid w:val="00A114DC"/>
    <w:rsid w:val="00A274CB"/>
    <w:rsid w:val="00A33738"/>
    <w:rsid w:val="00A33ACD"/>
    <w:rsid w:val="00A33C3E"/>
    <w:rsid w:val="00A35FF4"/>
    <w:rsid w:val="00A36B76"/>
    <w:rsid w:val="00A419AE"/>
    <w:rsid w:val="00A52312"/>
    <w:rsid w:val="00A53A97"/>
    <w:rsid w:val="00A5687F"/>
    <w:rsid w:val="00A63D4F"/>
    <w:rsid w:val="00A842BB"/>
    <w:rsid w:val="00A900FD"/>
    <w:rsid w:val="00A91C22"/>
    <w:rsid w:val="00A937B2"/>
    <w:rsid w:val="00AA0534"/>
    <w:rsid w:val="00AA4EE8"/>
    <w:rsid w:val="00AA603E"/>
    <w:rsid w:val="00AB2562"/>
    <w:rsid w:val="00AB367D"/>
    <w:rsid w:val="00AB4DD2"/>
    <w:rsid w:val="00AC2D40"/>
    <w:rsid w:val="00AC5117"/>
    <w:rsid w:val="00AD45D5"/>
    <w:rsid w:val="00AE03ED"/>
    <w:rsid w:val="00AE31DF"/>
    <w:rsid w:val="00AE6717"/>
    <w:rsid w:val="00AE7CF0"/>
    <w:rsid w:val="00AF409B"/>
    <w:rsid w:val="00B227B8"/>
    <w:rsid w:val="00B263D9"/>
    <w:rsid w:val="00B27E67"/>
    <w:rsid w:val="00B3110A"/>
    <w:rsid w:val="00B42836"/>
    <w:rsid w:val="00B552DE"/>
    <w:rsid w:val="00B61772"/>
    <w:rsid w:val="00B619E2"/>
    <w:rsid w:val="00B673BC"/>
    <w:rsid w:val="00B7384B"/>
    <w:rsid w:val="00B77102"/>
    <w:rsid w:val="00B80317"/>
    <w:rsid w:val="00B908F4"/>
    <w:rsid w:val="00B9390B"/>
    <w:rsid w:val="00BA00DC"/>
    <w:rsid w:val="00BA0975"/>
    <w:rsid w:val="00BB037F"/>
    <w:rsid w:val="00BB164C"/>
    <w:rsid w:val="00BB3179"/>
    <w:rsid w:val="00BB3580"/>
    <w:rsid w:val="00BB3E3D"/>
    <w:rsid w:val="00BB57D2"/>
    <w:rsid w:val="00BC2978"/>
    <w:rsid w:val="00BC7ECE"/>
    <w:rsid w:val="00BD2BF2"/>
    <w:rsid w:val="00BD4380"/>
    <w:rsid w:val="00BE303D"/>
    <w:rsid w:val="00BE3704"/>
    <w:rsid w:val="00BE4C23"/>
    <w:rsid w:val="00BE5439"/>
    <w:rsid w:val="00BE5C7D"/>
    <w:rsid w:val="00BE5EE0"/>
    <w:rsid w:val="00BF6045"/>
    <w:rsid w:val="00C02073"/>
    <w:rsid w:val="00C0509D"/>
    <w:rsid w:val="00C121E3"/>
    <w:rsid w:val="00C303CB"/>
    <w:rsid w:val="00C324D7"/>
    <w:rsid w:val="00C332A0"/>
    <w:rsid w:val="00C35E64"/>
    <w:rsid w:val="00C361E4"/>
    <w:rsid w:val="00C374E3"/>
    <w:rsid w:val="00C37A84"/>
    <w:rsid w:val="00C412F1"/>
    <w:rsid w:val="00C42AD8"/>
    <w:rsid w:val="00C47296"/>
    <w:rsid w:val="00C61D69"/>
    <w:rsid w:val="00C62FDB"/>
    <w:rsid w:val="00C678CF"/>
    <w:rsid w:val="00C71CA6"/>
    <w:rsid w:val="00C7350E"/>
    <w:rsid w:val="00C824A3"/>
    <w:rsid w:val="00C8769A"/>
    <w:rsid w:val="00C90189"/>
    <w:rsid w:val="00C93ACE"/>
    <w:rsid w:val="00C941A4"/>
    <w:rsid w:val="00CA069B"/>
    <w:rsid w:val="00CA2488"/>
    <w:rsid w:val="00CA5D52"/>
    <w:rsid w:val="00CA64E8"/>
    <w:rsid w:val="00CB12B0"/>
    <w:rsid w:val="00CB2FB5"/>
    <w:rsid w:val="00CB5525"/>
    <w:rsid w:val="00CC22CF"/>
    <w:rsid w:val="00CC4326"/>
    <w:rsid w:val="00CC4FA0"/>
    <w:rsid w:val="00CC55F9"/>
    <w:rsid w:val="00CC5CB4"/>
    <w:rsid w:val="00CD0B00"/>
    <w:rsid w:val="00CD2489"/>
    <w:rsid w:val="00CD358E"/>
    <w:rsid w:val="00CD78B3"/>
    <w:rsid w:val="00CE109C"/>
    <w:rsid w:val="00CE24D4"/>
    <w:rsid w:val="00CE4131"/>
    <w:rsid w:val="00CE5B48"/>
    <w:rsid w:val="00CE73DC"/>
    <w:rsid w:val="00D01960"/>
    <w:rsid w:val="00D03FDA"/>
    <w:rsid w:val="00D1001F"/>
    <w:rsid w:val="00D12416"/>
    <w:rsid w:val="00D13169"/>
    <w:rsid w:val="00D2064C"/>
    <w:rsid w:val="00D27D3D"/>
    <w:rsid w:val="00D3227E"/>
    <w:rsid w:val="00D33905"/>
    <w:rsid w:val="00D34578"/>
    <w:rsid w:val="00D37712"/>
    <w:rsid w:val="00D41117"/>
    <w:rsid w:val="00D44A98"/>
    <w:rsid w:val="00D46851"/>
    <w:rsid w:val="00D6234B"/>
    <w:rsid w:val="00D67881"/>
    <w:rsid w:val="00D7420C"/>
    <w:rsid w:val="00D8030E"/>
    <w:rsid w:val="00D81E01"/>
    <w:rsid w:val="00D85B82"/>
    <w:rsid w:val="00D909C0"/>
    <w:rsid w:val="00D97FB5"/>
    <w:rsid w:val="00DA09D9"/>
    <w:rsid w:val="00DA56F5"/>
    <w:rsid w:val="00DC3C49"/>
    <w:rsid w:val="00DC69BF"/>
    <w:rsid w:val="00DC70D4"/>
    <w:rsid w:val="00DD058D"/>
    <w:rsid w:val="00DD0D59"/>
    <w:rsid w:val="00DD544A"/>
    <w:rsid w:val="00DE0C7C"/>
    <w:rsid w:val="00DE29A0"/>
    <w:rsid w:val="00DF335D"/>
    <w:rsid w:val="00DF6C80"/>
    <w:rsid w:val="00DF6D4D"/>
    <w:rsid w:val="00DF70B3"/>
    <w:rsid w:val="00E02923"/>
    <w:rsid w:val="00E044C7"/>
    <w:rsid w:val="00E103A6"/>
    <w:rsid w:val="00E361EB"/>
    <w:rsid w:val="00E403F5"/>
    <w:rsid w:val="00E42CDF"/>
    <w:rsid w:val="00E47532"/>
    <w:rsid w:val="00E4780C"/>
    <w:rsid w:val="00E572F8"/>
    <w:rsid w:val="00E60EA1"/>
    <w:rsid w:val="00E63BA1"/>
    <w:rsid w:val="00E63CFD"/>
    <w:rsid w:val="00E66089"/>
    <w:rsid w:val="00E70CE8"/>
    <w:rsid w:val="00E71B1F"/>
    <w:rsid w:val="00E74346"/>
    <w:rsid w:val="00EA1F2C"/>
    <w:rsid w:val="00EA76EB"/>
    <w:rsid w:val="00EB5AEF"/>
    <w:rsid w:val="00EB7AA4"/>
    <w:rsid w:val="00EC1576"/>
    <w:rsid w:val="00EE4E6E"/>
    <w:rsid w:val="00EF180C"/>
    <w:rsid w:val="00EF4059"/>
    <w:rsid w:val="00EF4FBC"/>
    <w:rsid w:val="00EF5935"/>
    <w:rsid w:val="00F04E5F"/>
    <w:rsid w:val="00F13E27"/>
    <w:rsid w:val="00F1417D"/>
    <w:rsid w:val="00F14E59"/>
    <w:rsid w:val="00F17891"/>
    <w:rsid w:val="00F207BA"/>
    <w:rsid w:val="00F25AD2"/>
    <w:rsid w:val="00F26E29"/>
    <w:rsid w:val="00F27293"/>
    <w:rsid w:val="00F34BFC"/>
    <w:rsid w:val="00F355D6"/>
    <w:rsid w:val="00F425BB"/>
    <w:rsid w:val="00F60F15"/>
    <w:rsid w:val="00F754D9"/>
    <w:rsid w:val="00F83C63"/>
    <w:rsid w:val="00F83CA1"/>
    <w:rsid w:val="00F8781E"/>
    <w:rsid w:val="00F90273"/>
    <w:rsid w:val="00F9163F"/>
    <w:rsid w:val="00F930CE"/>
    <w:rsid w:val="00FA2A59"/>
    <w:rsid w:val="00FA2B21"/>
    <w:rsid w:val="00FA5EA8"/>
    <w:rsid w:val="00FB341A"/>
    <w:rsid w:val="00FB5827"/>
    <w:rsid w:val="00FC5B09"/>
    <w:rsid w:val="00FC7FBD"/>
    <w:rsid w:val="00FD29DA"/>
    <w:rsid w:val="00FD6D89"/>
    <w:rsid w:val="00FE3A01"/>
    <w:rsid w:val="00FE4332"/>
    <w:rsid w:val="00FE65ED"/>
    <w:rsid w:val="00FF055B"/>
    <w:rsid w:val="00FF0C0D"/>
    <w:rsid w:val="00FF0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1F368"/>
  <w15:docId w15:val="{0AAA11C0-4EC1-49B4-9378-B7815DE2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095768"/>
    <w:pPr>
      <w:ind w:left="720"/>
      <w:contextualSpacing/>
    </w:pPr>
  </w:style>
  <w:style w:type="paragraph" w:styleId="Header">
    <w:name w:val="header"/>
    <w:basedOn w:val="Normal"/>
    <w:link w:val="HeaderChar"/>
    <w:uiPriority w:val="99"/>
    <w:unhideWhenUsed/>
    <w:rsid w:val="00882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61E"/>
  </w:style>
  <w:style w:type="paragraph" w:styleId="Footer">
    <w:name w:val="footer"/>
    <w:basedOn w:val="Normal"/>
    <w:link w:val="FooterChar"/>
    <w:uiPriority w:val="99"/>
    <w:unhideWhenUsed/>
    <w:rsid w:val="00882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61E"/>
  </w:style>
  <w:style w:type="paragraph" w:styleId="BalloonText">
    <w:name w:val="Balloon Text"/>
    <w:basedOn w:val="Normal"/>
    <w:link w:val="BalloonTextChar"/>
    <w:uiPriority w:val="99"/>
    <w:semiHidden/>
    <w:unhideWhenUsed/>
    <w:rsid w:val="0088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61E"/>
    <w:rPr>
      <w:rFonts w:ascii="Tahoma" w:hAnsi="Tahoma" w:cs="Tahoma"/>
      <w:sz w:val="16"/>
      <w:szCs w:val="16"/>
    </w:rPr>
  </w:style>
  <w:style w:type="paragraph" w:customStyle="1" w:styleId="Default">
    <w:name w:val="Default"/>
    <w:rsid w:val="00323D23"/>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rsid w:val="00D1001F"/>
  </w:style>
  <w:style w:type="character" w:styleId="CommentReference">
    <w:name w:val="annotation reference"/>
    <w:basedOn w:val="DefaultParagraphFont"/>
    <w:uiPriority w:val="99"/>
    <w:semiHidden/>
    <w:unhideWhenUsed/>
    <w:rsid w:val="00DF70B3"/>
    <w:rPr>
      <w:sz w:val="16"/>
      <w:szCs w:val="16"/>
    </w:rPr>
  </w:style>
  <w:style w:type="paragraph" w:styleId="CommentText">
    <w:name w:val="annotation text"/>
    <w:basedOn w:val="Normal"/>
    <w:link w:val="CommentTextChar"/>
    <w:uiPriority w:val="99"/>
    <w:semiHidden/>
    <w:unhideWhenUsed/>
    <w:rsid w:val="00DF70B3"/>
    <w:pPr>
      <w:spacing w:line="240" w:lineRule="auto"/>
    </w:pPr>
    <w:rPr>
      <w:sz w:val="20"/>
      <w:szCs w:val="20"/>
    </w:rPr>
  </w:style>
  <w:style w:type="character" w:customStyle="1" w:styleId="CommentTextChar">
    <w:name w:val="Comment Text Char"/>
    <w:basedOn w:val="DefaultParagraphFont"/>
    <w:link w:val="CommentText"/>
    <w:uiPriority w:val="99"/>
    <w:semiHidden/>
    <w:rsid w:val="00DF70B3"/>
    <w:rPr>
      <w:sz w:val="20"/>
      <w:szCs w:val="20"/>
    </w:rPr>
  </w:style>
  <w:style w:type="paragraph" w:styleId="CommentSubject">
    <w:name w:val="annotation subject"/>
    <w:basedOn w:val="CommentText"/>
    <w:next w:val="CommentText"/>
    <w:link w:val="CommentSubjectChar"/>
    <w:uiPriority w:val="99"/>
    <w:semiHidden/>
    <w:unhideWhenUsed/>
    <w:rsid w:val="00DF70B3"/>
    <w:rPr>
      <w:b/>
      <w:bCs/>
    </w:rPr>
  </w:style>
  <w:style w:type="character" w:customStyle="1" w:styleId="CommentSubjectChar">
    <w:name w:val="Comment Subject Char"/>
    <w:basedOn w:val="CommentTextChar"/>
    <w:link w:val="CommentSubject"/>
    <w:uiPriority w:val="99"/>
    <w:semiHidden/>
    <w:rsid w:val="00DF70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175799">
      <w:bodyDiv w:val="1"/>
      <w:marLeft w:val="0"/>
      <w:marRight w:val="0"/>
      <w:marTop w:val="0"/>
      <w:marBottom w:val="0"/>
      <w:divBdr>
        <w:top w:val="none" w:sz="0" w:space="0" w:color="auto"/>
        <w:left w:val="none" w:sz="0" w:space="0" w:color="auto"/>
        <w:bottom w:val="none" w:sz="0" w:space="0" w:color="auto"/>
        <w:right w:val="none" w:sz="0" w:space="0" w:color="auto"/>
      </w:divBdr>
    </w:div>
    <w:div w:id="734166980">
      <w:bodyDiv w:val="1"/>
      <w:marLeft w:val="0"/>
      <w:marRight w:val="0"/>
      <w:marTop w:val="0"/>
      <w:marBottom w:val="0"/>
      <w:divBdr>
        <w:top w:val="none" w:sz="0" w:space="0" w:color="auto"/>
        <w:left w:val="none" w:sz="0" w:space="0" w:color="auto"/>
        <w:bottom w:val="none" w:sz="0" w:space="0" w:color="auto"/>
        <w:right w:val="none" w:sz="0" w:space="0" w:color="auto"/>
      </w:divBdr>
    </w:div>
    <w:div w:id="878395497">
      <w:bodyDiv w:val="1"/>
      <w:marLeft w:val="0"/>
      <w:marRight w:val="0"/>
      <w:marTop w:val="0"/>
      <w:marBottom w:val="0"/>
      <w:divBdr>
        <w:top w:val="none" w:sz="0" w:space="0" w:color="auto"/>
        <w:left w:val="none" w:sz="0" w:space="0" w:color="auto"/>
        <w:bottom w:val="none" w:sz="0" w:space="0" w:color="auto"/>
        <w:right w:val="none" w:sz="0" w:space="0" w:color="auto"/>
      </w:divBdr>
    </w:div>
    <w:div w:id="893197588">
      <w:bodyDiv w:val="1"/>
      <w:marLeft w:val="0"/>
      <w:marRight w:val="0"/>
      <w:marTop w:val="0"/>
      <w:marBottom w:val="0"/>
      <w:divBdr>
        <w:top w:val="none" w:sz="0" w:space="0" w:color="auto"/>
        <w:left w:val="none" w:sz="0" w:space="0" w:color="auto"/>
        <w:bottom w:val="none" w:sz="0" w:space="0" w:color="auto"/>
        <w:right w:val="none" w:sz="0" w:space="0" w:color="auto"/>
      </w:divBdr>
      <w:divsChild>
        <w:div w:id="319387224">
          <w:marLeft w:val="0"/>
          <w:marRight w:val="0"/>
          <w:marTop w:val="0"/>
          <w:marBottom w:val="0"/>
          <w:divBdr>
            <w:top w:val="none" w:sz="0" w:space="0" w:color="auto"/>
            <w:left w:val="none" w:sz="0" w:space="0" w:color="auto"/>
            <w:bottom w:val="none" w:sz="0" w:space="0" w:color="auto"/>
            <w:right w:val="none" w:sz="0" w:space="0" w:color="auto"/>
          </w:divBdr>
          <w:divsChild>
            <w:div w:id="1865559063">
              <w:marLeft w:val="0"/>
              <w:marRight w:val="0"/>
              <w:marTop w:val="0"/>
              <w:marBottom w:val="0"/>
              <w:divBdr>
                <w:top w:val="none" w:sz="0" w:space="0" w:color="auto"/>
                <w:left w:val="none" w:sz="0" w:space="0" w:color="auto"/>
                <w:bottom w:val="none" w:sz="0" w:space="0" w:color="auto"/>
                <w:right w:val="none" w:sz="0" w:space="0" w:color="auto"/>
              </w:divBdr>
              <w:divsChild>
                <w:div w:id="1367369738">
                  <w:marLeft w:val="0"/>
                  <w:marRight w:val="0"/>
                  <w:marTop w:val="0"/>
                  <w:marBottom w:val="0"/>
                  <w:divBdr>
                    <w:top w:val="none" w:sz="0" w:space="0" w:color="auto"/>
                    <w:left w:val="none" w:sz="0" w:space="0" w:color="auto"/>
                    <w:bottom w:val="none" w:sz="0" w:space="0" w:color="auto"/>
                    <w:right w:val="none" w:sz="0" w:space="0" w:color="auto"/>
                  </w:divBdr>
                  <w:divsChild>
                    <w:div w:id="1704281498">
                      <w:marLeft w:val="0"/>
                      <w:marRight w:val="0"/>
                      <w:marTop w:val="0"/>
                      <w:marBottom w:val="0"/>
                      <w:divBdr>
                        <w:top w:val="none" w:sz="0" w:space="0" w:color="auto"/>
                        <w:left w:val="none" w:sz="0" w:space="0" w:color="auto"/>
                        <w:bottom w:val="none" w:sz="0" w:space="0" w:color="auto"/>
                        <w:right w:val="none" w:sz="0" w:space="0" w:color="auto"/>
                      </w:divBdr>
                      <w:divsChild>
                        <w:div w:id="414936097">
                          <w:marLeft w:val="0"/>
                          <w:marRight w:val="0"/>
                          <w:marTop w:val="0"/>
                          <w:marBottom w:val="0"/>
                          <w:divBdr>
                            <w:top w:val="none" w:sz="0" w:space="0" w:color="auto"/>
                            <w:left w:val="none" w:sz="0" w:space="0" w:color="auto"/>
                            <w:bottom w:val="none" w:sz="0" w:space="0" w:color="auto"/>
                            <w:right w:val="none" w:sz="0" w:space="0" w:color="auto"/>
                          </w:divBdr>
                          <w:divsChild>
                            <w:div w:id="1635528658">
                              <w:marLeft w:val="0"/>
                              <w:marRight w:val="0"/>
                              <w:marTop w:val="0"/>
                              <w:marBottom w:val="0"/>
                              <w:divBdr>
                                <w:top w:val="none" w:sz="0" w:space="0" w:color="auto"/>
                                <w:left w:val="none" w:sz="0" w:space="0" w:color="auto"/>
                                <w:bottom w:val="none" w:sz="0" w:space="0" w:color="auto"/>
                                <w:right w:val="none" w:sz="0" w:space="0" w:color="auto"/>
                              </w:divBdr>
                              <w:divsChild>
                                <w:div w:id="720402923">
                                  <w:marLeft w:val="0"/>
                                  <w:marRight w:val="0"/>
                                  <w:marTop w:val="0"/>
                                  <w:marBottom w:val="0"/>
                                  <w:divBdr>
                                    <w:top w:val="none" w:sz="0" w:space="0" w:color="auto"/>
                                    <w:left w:val="none" w:sz="0" w:space="0" w:color="auto"/>
                                    <w:bottom w:val="none" w:sz="0" w:space="0" w:color="auto"/>
                                    <w:right w:val="none" w:sz="0" w:space="0" w:color="auto"/>
                                  </w:divBdr>
                                  <w:divsChild>
                                    <w:div w:id="660037032">
                                      <w:marLeft w:val="0"/>
                                      <w:marRight w:val="0"/>
                                      <w:marTop w:val="0"/>
                                      <w:marBottom w:val="0"/>
                                      <w:divBdr>
                                        <w:top w:val="none" w:sz="0" w:space="0" w:color="auto"/>
                                        <w:left w:val="none" w:sz="0" w:space="0" w:color="auto"/>
                                        <w:bottom w:val="none" w:sz="0" w:space="0" w:color="auto"/>
                                        <w:right w:val="none" w:sz="0" w:space="0" w:color="auto"/>
                                      </w:divBdr>
                                      <w:divsChild>
                                        <w:div w:id="1159728757">
                                          <w:marLeft w:val="0"/>
                                          <w:marRight w:val="0"/>
                                          <w:marTop w:val="0"/>
                                          <w:marBottom w:val="0"/>
                                          <w:divBdr>
                                            <w:top w:val="none" w:sz="0" w:space="0" w:color="auto"/>
                                            <w:left w:val="none" w:sz="0" w:space="0" w:color="auto"/>
                                            <w:bottom w:val="none" w:sz="0" w:space="0" w:color="auto"/>
                                            <w:right w:val="none" w:sz="0" w:space="0" w:color="auto"/>
                                          </w:divBdr>
                                          <w:divsChild>
                                            <w:div w:id="168762895">
                                              <w:marLeft w:val="0"/>
                                              <w:marRight w:val="0"/>
                                              <w:marTop w:val="0"/>
                                              <w:marBottom w:val="0"/>
                                              <w:divBdr>
                                                <w:top w:val="none" w:sz="0" w:space="0" w:color="auto"/>
                                                <w:left w:val="none" w:sz="0" w:space="0" w:color="auto"/>
                                                <w:bottom w:val="none" w:sz="0" w:space="0" w:color="auto"/>
                                                <w:right w:val="none" w:sz="0" w:space="0" w:color="auto"/>
                                              </w:divBdr>
                                              <w:divsChild>
                                                <w:div w:id="822084265">
                                                  <w:marLeft w:val="0"/>
                                                  <w:marRight w:val="0"/>
                                                  <w:marTop w:val="0"/>
                                                  <w:marBottom w:val="0"/>
                                                  <w:divBdr>
                                                    <w:top w:val="none" w:sz="0" w:space="0" w:color="auto"/>
                                                    <w:left w:val="none" w:sz="0" w:space="0" w:color="auto"/>
                                                    <w:bottom w:val="none" w:sz="0" w:space="0" w:color="auto"/>
                                                    <w:right w:val="none" w:sz="0" w:space="0" w:color="auto"/>
                                                  </w:divBdr>
                                                  <w:divsChild>
                                                    <w:div w:id="1491671880">
                                                      <w:marLeft w:val="0"/>
                                                      <w:marRight w:val="0"/>
                                                      <w:marTop w:val="0"/>
                                                      <w:marBottom w:val="0"/>
                                                      <w:divBdr>
                                                        <w:top w:val="none" w:sz="0" w:space="0" w:color="auto"/>
                                                        <w:left w:val="none" w:sz="0" w:space="0" w:color="auto"/>
                                                        <w:bottom w:val="none" w:sz="0" w:space="0" w:color="auto"/>
                                                        <w:right w:val="none" w:sz="0" w:space="0" w:color="auto"/>
                                                      </w:divBdr>
                                                      <w:divsChild>
                                                        <w:div w:id="1169255100">
                                                          <w:marLeft w:val="0"/>
                                                          <w:marRight w:val="0"/>
                                                          <w:marTop w:val="0"/>
                                                          <w:marBottom w:val="0"/>
                                                          <w:divBdr>
                                                            <w:top w:val="none" w:sz="0" w:space="0" w:color="auto"/>
                                                            <w:left w:val="none" w:sz="0" w:space="0" w:color="auto"/>
                                                            <w:bottom w:val="none" w:sz="0" w:space="0" w:color="auto"/>
                                                            <w:right w:val="none" w:sz="0" w:space="0" w:color="auto"/>
                                                          </w:divBdr>
                                                          <w:divsChild>
                                                            <w:div w:id="1154763429">
                                                              <w:marLeft w:val="0"/>
                                                              <w:marRight w:val="0"/>
                                                              <w:marTop w:val="0"/>
                                                              <w:marBottom w:val="0"/>
                                                              <w:divBdr>
                                                                <w:top w:val="none" w:sz="0" w:space="0" w:color="auto"/>
                                                                <w:left w:val="none" w:sz="0" w:space="0" w:color="auto"/>
                                                                <w:bottom w:val="none" w:sz="0" w:space="0" w:color="auto"/>
                                                                <w:right w:val="none" w:sz="0" w:space="0" w:color="auto"/>
                                                              </w:divBdr>
                                                              <w:divsChild>
                                                                <w:div w:id="196091608">
                                                                  <w:marLeft w:val="0"/>
                                                                  <w:marRight w:val="0"/>
                                                                  <w:marTop w:val="0"/>
                                                                  <w:marBottom w:val="0"/>
                                                                  <w:divBdr>
                                                                    <w:top w:val="none" w:sz="0" w:space="0" w:color="auto"/>
                                                                    <w:left w:val="none" w:sz="0" w:space="0" w:color="auto"/>
                                                                    <w:bottom w:val="none" w:sz="0" w:space="0" w:color="auto"/>
                                                                    <w:right w:val="none" w:sz="0" w:space="0" w:color="auto"/>
                                                                  </w:divBdr>
                                                                  <w:divsChild>
                                                                    <w:div w:id="274142543">
                                                                      <w:marLeft w:val="0"/>
                                                                      <w:marRight w:val="0"/>
                                                                      <w:marTop w:val="0"/>
                                                                      <w:marBottom w:val="0"/>
                                                                      <w:divBdr>
                                                                        <w:top w:val="none" w:sz="0" w:space="0" w:color="auto"/>
                                                                        <w:left w:val="none" w:sz="0" w:space="0" w:color="auto"/>
                                                                        <w:bottom w:val="none" w:sz="0" w:space="0" w:color="auto"/>
                                                                        <w:right w:val="none" w:sz="0" w:space="0" w:color="auto"/>
                                                                      </w:divBdr>
                                                                      <w:divsChild>
                                                                        <w:div w:id="2045323504">
                                                                          <w:marLeft w:val="0"/>
                                                                          <w:marRight w:val="0"/>
                                                                          <w:marTop w:val="0"/>
                                                                          <w:marBottom w:val="0"/>
                                                                          <w:divBdr>
                                                                            <w:top w:val="none" w:sz="0" w:space="0" w:color="auto"/>
                                                                            <w:left w:val="none" w:sz="0" w:space="0" w:color="auto"/>
                                                                            <w:bottom w:val="none" w:sz="0" w:space="0" w:color="auto"/>
                                                                            <w:right w:val="none" w:sz="0" w:space="0" w:color="auto"/>
                                                                          </w:divBdr>
                                                                          <w:divsChild>
                                                                            <w:div w:id="1916549727">
                                                                              <w:marLeft w:val="0"/>
                                                                              <w:marRight w:val="0"/>
                                                                              <w:marTop w:val="0"/>
                                                                              <w:marBottom w:val="0"/>
                                                                              <w:divBdr>
                                                                                <w:top w:val="none" w:sz="0" w:space="0" w:color="auto"/>
                                                                                <w:left w:val="none" w:sz="0" w:space="0" w:color="auto"/>
                                                                                <w:bottom w:val="none" w:sz="0" w:space="0" w:color="auto"/>
                                                                                <w:right w:val="none" w:sz="0" w:space="0" w:color="auto"/>
                                                                              </w:divBdr>
                                                                              <w:divsChild>
                                                                                <w:div w:id="1968968458">
                                                                                  <w:marLeft w:val="0"/>
                                                                                  <w:marRight w:val="0"/>
                                                                                  <w:marTop w:val="0"/>
                                                                                  <w:marBottom w:val="0"/>
                                                                                  <w:divBdr>
                                                                                    <w:top w:val="none" w:sz="0" w:space="0" w:color="auto"/>
                                                                                    <w:left w:val="none" w:sz="0" w:space="0" w:color="auto"/>
                                                                                    <w:bottom w:val="none" w:sz="0" w:space="0" w:color="auto"/>
                                                                                    <w:right w:val="none" w:sz="0" w:space="0" w:color="auto"/>
                                                                                  </w:divBdr>
                                                                                  <w:divsChild>
                                                                                    <w:div w:id="660039330">
                                                                                      <w:marLeft w:val="0"/>
                                                                                      <w:marRight w:val="0"/>
                                                                                      <w:marTop w:val="0"/>
                                                                                      <w:marBottom w:val="0"/>
                                                                                      <w:divBdr>
                                                                                        <w:top w:val="none" w:sz="0" w:space="0" w:color="auto"/>
                                                                                        <w:left w:val="none" w:sz="0" w:space="0" w:color="auto"/>
                                                                                        <w:bottom w:val="none" w:sz="0" w:space="0" w:color="auto"/>
                                                                                        <w:right w:val="none" w:sz="0" w:space="0" w:color="auto"/>
                                                                                      </w:divBdr>
                                                                                      <w:divsChild>
                                                                                        <w:div w:id="1890654351">
                                                                                          <w:marLeft w:val="0"/>
                                                                                          <w:marRight w:val="0"/>
                                                                                          <w:marTop w:val="0"/>
                                                                                          <w:marBottom w:val="0"/>
                                                                                          <w:divBdr>
                                                                                            <w:top w:val="none" w:sz="0" w:space="0" w:color="auto"/>
                                                                                            <w:left w:val="none" w:sz="0" w:space="0" w:color="auto"/>
                                                                                            <w:bottom w:val="none" w:sz="0" w:space="0" w:color="auto"/>
                                                                                            <w:right w:val="none" w:sz="0" w:space="0" w:color="auto"/>
                                                                                          </w:divBdr>
                                                                                          <w:divsChild>
                                                                                            <w:div w:id="436172611">
                                                                                              <w:marLeft w:val="240"/>
                                                                                              <w:marRight w:val="240"/>
                                                                                              <w:marTop w:val="240"/>
                                                                                              <w:marBottom w:val="60"/>
                                                                                              <w:divBdr>
                                                                                                <w:top w:val="none" w:sz="0" w:space="0" w:color="auto"/>
                                                                                                <w:left w:val="none" w:sz="0" w:space="0" w:color="auto"/>
                                                                                                <w:bottom w:val="none" w:sz="0" w:space="0" w:color="auto"/>
                                                                                                <w:right w:val="none" w:sz="0" w:space="0" w:color="auto"/>
                                                                                              </w:divBdr>
                                                                                              <w:divsChild>
                                                                                                <w:div w:id="1187452026">
                                                                                                  <w:marLeft w:val="0"/>
                                                                                                  <w:marRight w:val="0"/>
                                                                                                  <w:marTop w:val="0"/>
                                                                                                  <w:marBottom w:val="0"/>
                                                                                                  <w:divBdr>
                                                                                                    <w:top w:val="none" w:sz="0" w:space="0" w:color="auto"/>
                                                                                                    <w:left w:val="none" w:sz="0" w:space="0" w:color="auto"/>
                                                                                                    <w:bottom w:val="none" w:sz="0" w:space="0" w:color="auto"/>
                                                                                                    <w:right w:val="none" w:sz="0" w:space="0" w:color="auto"/>
                                                                                                  </w:divBdr>
                                                                                                  <w:divsChild>
                                                                                                    <w:div w:id="1351180944">
                                                                                                      <w:marLeft w:val="0"/>
                                                                                                      <w:marRight w:val="0"/>
                                                                                                      <w:marTop w:val="0"/>
                                                                                                      <w:marBottom w:val="0"/>
                                                                                                      <w:divBdr>
                                                                                                        <w:top w:val="none" w:sz="0" w:space="0" w:color="auto"/>
                                                                                                        <w:left w:val="none" w:sz="0" w:space="0" w:color="auto"/>
                                                                                                        <w:bottom w:val="none" w:sz="0" w:space="0" w:color="auto"/>
                                                                                                        <w:right w:val="none" w:sz="0" w:space="0" w:color="auto"/>
                                                                                                      </w:divBdr>
                                                                                                      <w:divsChild>
                                                                                                        <w:div w:id="1046687647">
                                                                                                          <w:marLeft w:val="0"/>
                                                                                                          <w:marRight w:val="0"/>
                                                                                                          <w:marTop w:val="0"/>
                                                                                                          <w:marBottom w:val="0"/>
                                                                                                          <w:divBdr>
                                                                                                            <w:top w:val="none" w:sz="0" w:space="0" w:color="auto"/>
                                                                                                            <w:left w:val="none" w:sz="0" w:space="0" w:color="auto"/>
                                                                                                            <w:bottom w:val="none" w:sz="0" w:space="0" w:color="auto"/>
                                                                                                            <w:right w:val="none" w:sz="0" w:space="0" w:color="auto"/>
                                                                                                          </w:divBdr>
                                                                                                        </w:div>
                                                                                                        <w:div w:id="2021465795">
                                                                                                          <w:marLeft w:val="0"/>
                                                                                                          <w:marRight w:val="0"/>
                                                                                                          <w:marTop w:val="0"/>
                                                                                                          <w:marBottom w:val="0"/>
                                                                                                          <w:divBdr>
                                                                                                            <w:top w:val="none" w:sz="0" w:space="0" w:color="auto"/>
                                                                                                            <w:left w:val="none" w:sz="0" w:space="0" w:color="auto"/>
                                                                                                            <w:bottom w:val="none" w:sz="0" w:space="0" w:color="auto"/>
                                                                                                            <w:right w:val="none" w:sz="0" w:space="0" w:color="auto"/>
                                                                                                          </w:divBdr>
                                                                                                        </w:div>
                                                                                                        <w:div w:id="1061709671">
                                                                                                          <w:marLeft w:val="0"/>
                                                                                                          <w:marRight w:val="0"/>
                                                                                                          <w:marTop w:val="0"/>
                                                                                                          <w:marBottom w:val="0"/>
                                                                                                          <w:divBdr>
                                                                                                            <w:top w:val="none" w:sz="0" w:space="0" w:color="auto"/>
                                                                                                            <w:left w:val="none" w:sz="0" w:space="0" w:color="auto"/>
                                                                                                            <w:bottom w:val="none" w:sz="0" w:space="0" w:color="auto"/>
                                                                                                            <w:right w:val="none" w:sz="0" w:space="0" w:color="auto"/>
                                                                                                          </w:divBdr>
                                                                                                        </w:div>
                                                                                                        <w:div w:id="1865092755">
                                                                                                          <w:marLeft w:val="0"/>
                                                                                                          <w:marRight w:val="0"/>
                                                                                                          <w:marTop w:val="0"/>
                                                                                                          <w:marBottom w:val="0"/>
                                                                                                          <w:divBdr>
                                                                                                            <w:top w:val="none" w:sz="0" w:space="0" w:color="auto"/>
                                                                                                            <w:left w:val="none" w:sz="0" w:space="0" w:color="auto"/>
                                                                                                            <w:bottom w:val="none" w:sz="0" w:space="0" w:color="auto"/>
                                                                                                            <w:right w:val="none" w:sz="0" w:space="0" w:color="auto"/>
                                                                                                          </w:divBdr>
                                                                                                        </w:div>
                                                                                                        <w:div w:id="807551869">
                                                                                                          <w:marLeft w:val="0"/>
                                                                                                          <w:marRight w:val="0"/>
                                                                                                          <w:marTop w:val="0"/>
                                                                                                          <w:marBottom w:val="0"/>
                                                                                                          <w:divBdr>
                                                                                                            <w:top w:val="none" w:sz="0" w:space="0" w:color="auto"/>
                                                                                                            <w:left w:val="none" w:sz="0" w:space="0" w:color="auto"/>
                                                                                                            <w:bottom w:val="none" w:sz="0" w:space="0" w:color="auto"/>
                                                                                                            <w:right w:val="none" w:sz="0" w:space="0" w:color="auto"/>
                                                                                                          </w:divBdr>
                                                                                                        </w:div>
                                                                                                        <w:div w:id="466242193">
                                                                                                          <w:marLeft w:val="0"/>
                                                                                                          <w:marRight w:val="0"/>
                                                                                                          <w:marTop w:val="0"/>
                                                                                                          <w:marBottom w:val="0"/>
                                                                                                          <w:divBdr>
                                                                                                            <w:top w:val="none" w:sz="0" w:space="0" w:color="auto"/>
                                                                                                            <w:left w:val="none" w:sz="0" w:space="0" w:color="auto"/>
                                                                                                            <w:bottom w:val="none" w:sz="0" w:space="0" w:color="auto"/>
                                                                                                            <w:right w:val="none" w:sz="0" w:space="0" w:color="auto"/>
                                                                                                          </w:divBdr>
                                                                                                        </w:div>
                                                                                                        <w:div w:id="12855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125219">
      <w:bodyDiv w:val="1"/>
      <w:marLeft w:val="0"/>
      <w:marRight w:val="0"/>
      <w:marTop w:val="0"/>
      <w:marBottom w:val="0"/>
      <w:divBdr>
        <w:top w:val="none" w:sz="0" w:space="0" w:color="auto"/>
        <w:left w:val="none" w:sz="0" w:space="0" w:color="auto"/>
        <w:bottom w:val="none" w:sz="0" w:space="0" w:color="auto"/>
        <w:right w:val="none" w:sz="0" w:space="0" w:color="auto"/>
      </w:divBdr>
    </w:div>
    <w:div w:id="1691682904">
      <w:bodyDiv w:val="1"/>
      <w:marLeft w:val="0"/>
      <w:marRight w:val="0"/>
      <w:marTop w:val="0"/>
      <w:marBottom w:val="0"/>
      <w:divBdr>
        <w:top w:val="none" w:sz="0" w:space="0" w:color="auto"/>
        <w:left w:val="none" w:sz="0" w:space="0" w:color="auto"/>
        <w:bottom w:val="none" w:sz="0" w:space="0" w:color="auto"/>
        <w:right w:val="none" w:sz="0" w:space="0" w:color="auto"/>
      </w:divBdr>
    </w:div>
    <w:div w:id="20280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C5ABF7EC1A0D4F9E3F27BEC8DD6869" ma:contentTypeVersion="13" ma:contentTypeDescription="Create a new document." ma:contentTypeScope="" ma:versionID="68aa4fbea1286d6878fbbd1f7a68d5c5">
  <xsd:schema xmlns:xsd="http://www.w3.org/2001/XMLSchema" xmlns:xs="http://www.w3.org/2001/XMLSchema" xmlns:p="http://schemas.microsoft.com/office/2006/metadata/properties" xmlns:ns3="a6b0a586-1ef6-4ab0-a76d-2a440b27d74e" xmlns:ns4="425f2454-5a42-4da4-acc9-1421f5b84bd7" targetNamespace="http://schemas.microsoft.com/office/2006/metadata/properties" ma:root="true" ma:fieldsID="b25f4d5f766ed27c84428a73a4e20c03" ns3:_="" ns4:_="">
    <xsd:import namespace="a6b0a586-1ef6-4ab0-a76d-2a440b27d74e"/>
    <xsd:import namespace="425f2454-5a42-4da4-acc9-1421f5b84b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0a586-1ef6-4ab0-a76d-2a440b27d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f2454-5a42-4da4-acc9-1421f5b84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5722-ED80-4503-A2ED-22ECB07D3E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19E441-DEA1-4FFD-A827-F1E78F444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0a586-1ef6-4ab0-a76d-2a440b27d74e"/>
    <ds:schemaRef ds:uri="425f2454-5a42-4da4-acc9-1421f5b84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F182C-6585-4E62-9620-F003CBC9C4D5}">
  <ds:schemaRefs>
    <ds:schemaRef ds:uri="http://schemas.microsoft.com/sharepoint/v3/contenttype/forms"/>
  </ds:schemaRefs>
</ds:datastoreItem>
</file>

<file path=customXml/itemProps4.xml><?xml version="1.0" encoding="utf-8"?>
<ds:datastoreItem xmlns:ds="http://schemas.openxmlformats.org/officeDocument/2006/customXml" ds:itemID="{C0922F94-BDFC-4A64-A75E-DBBDA01F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3021</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Motherwell College</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dmcgill</dc:creator>
  <cp:lastModifiedBy>Diane McGill</cp:lastModifiedBy>
  <cp:revision>3</cp:revision>
  <cp:lastPrinted>2022-08-29T13:58:00Z</cp:lastPrinted>
  <dcterms:created xsi:type="dcterms:W3CDTF">2023-01-24T15:51:00Z</dcterms:created>
  <dcterms:modified xsi:type="dcterms:W3CDTF">2023-05-09T10:47:00Z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0x01010059C5ABF7EC1A0D4F9E3F27BEC8DD6869</vt:lpwstr>
  </property>
</Properties>
</file>