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C7AF3" w14:textId="77777777" w:rsidR="002B1CA1" w:rsidRPr="006128AE" w:rsidRDefault="002B1CA1" w:rsidP="00E62885">
      <w:pPr>
        <w:pStyle w:val="Header"/>
        <w:tabs>
          <w:tab w:val="clear" w:pos="4153"/>
          <w:tab w:val="clear" w:pos="8306"/>
        </w:tabs>
        <w:jc w:val="right"/>
        <w:rPr>
          <w:rFonts w:ascii="Calibri" w:hAnsi="Calibri" w:cs="Calibri"/>
          <w:sz w:val="24"/>
          <w:szCs w:val="24"/>
        </w:rPr>
      </w:pPr>
    </w:p>
    <w:p w14:paraId="0DD583C3" w14:textId="77777777" w:rsidR="002B1CA1" w:rsidRPr="006128AE" w:rsidRDefault="002B1CA1" w:rsidP="00CA3530">
      <w:pPr>
        <w:jc w:val="right"/>
        <w:rPr>
          <w:rFonts w:ascii="Calibri" w:hAnsi="Calibri" w:cs="Calibri"/>
          <w:sz w:val="24"/>
          <w:szCs w:val="24"/>
        </w:rPr>
      </w:pPr>
    </w:p>
    <w:p w14:paraId="532C8E41" w14:textId="77777777" w:rsidR="002B1CA1" w:rsidRPr="00B22E7A" w:rsidRDefault="002B1CA1">
      <w:pPr>
        <w:pStyle w:val="Header"/>
        <w:tabs>
          <w:tab w:val="clear" w:pos="4153"/>
          <w:tab w:val="clear" w:pos="8306"/>
        </w:tabs>
        <w:rPr>
          <w:rFonts w:ascii="Calibri" w:hAnsi="Calibri" w:cs="Calibri"/>
          <w:sz w:val="24"/>
          <w:szCs w:val="24"/>
        </w:rPr>
      </w:pPr>
    </w:p>
    <w:p w14:paraId="6F5A3937" w14:textId="77777777" w:rsidR="002B1CA1" w:rsidRPr="00B22E7A" w:rsidRDefault="00590DBD" w:rsidP="00590DBD">
      <w:pPr>
        <w:jc w:val="center"/>
        <w:rPr>
          <w:rFonts w:ascii="Calibri" w:hAnsi="Calibri" w:cs="Calibri"/>
          <w:sz w:val="24"/>
          <w:szCs w:val="24"/>
        </w:rPr>
      </w:pPr>
      <w:r>
        <w:rPr>
          <w:noProof/>
        </w:rPr>
        <w:drawing>
          <wp:inline distT="0" distB="0" distL="0" distR="0" wp14:anchorId="756F81DC" wp14:editId="5BE25517">
            <wp:extent cx="3038475" cy="1352122"/>
            <wp:effectExtent l="0" t="0" r="0" b="635"/>
            <wp:docPr id="15322116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211612"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3069442" cy="1365902"/>
                    </a:xfrm>
                    <a:prstGeom prst="rect">
                      <a:avLst/>
                    </a:prstGeom>
                  </pic:spPr>
                </pic:pic>
              </a:graphicData>
            </a:graphic>
          </wp:inline>
        </w:drawing>
      </w:r>
    </w:p>
    <w:p w14:paraId="7351D881" w14:textId="77777777" w:rsidR="002B1CA1" w:rsidRPr="00B22E7A" w:rsidRDefault="002B1CA1">
      <w:pPr>
        <w:rPr>
          <w:rFonts w:ascii="Calibri" w:hAnsi="Calibri" w:cs="Calibri"/>
          <w:sz w:val="24"/>
          <w:szCs w:val="24"/>
        </w:rPr>
      </w:pPr>
    </w:p>
    <w:p w14:paraId="25EBD1DD" w14:textId="77777777" w:rsidR="002B1CA1" w:rsidRPr="00B22E7A" w:rsidRDefault="002B1CA1">
      <w:pPr>
        <w:rPr>
          <w:rFonts w:ascii="Calibri" w:hAnsi="Calibri" w:cs="Calibri"/>
          <w:sz w:val="24"/>
          <w:szCs w:val="24"/>
        </w:rPr>
      </w:pPr>
    </w:p>
    <w:p w14:paraId="62DECEA5" w14:textId="77777777" w:rsidR="002B1CA1" w:rsidRPr="00B22E7A" w:rsidRDefault="002B1CA1">
      <w:pPr>
        <w:rPr>
          <w:rFonts w:ascii="Calibri" w:hAnsi="Calibri" w:cs="Calibri"/>
          <w:sz w:val="40"/>
          <w:szCs w:val="40"/>
        </w:rPr>
      </w:pPr>
    </w:p>
    <w:p w14:paraId="18AA7519" w14:textId="3D6DBC9C" w:rsidR="002B1CA1" w:rsidRPr="00B22E7A" w:rsidRDefault="00A03384">
      <w:pPr>
        <w:pStyle w:val="Heading1"/>
        <w:jc w:val="center"/>
        <w:rPr>
          <w:rFonts w:ascii="Calibri" w:hAnsi="Calibri" w:cs="Calibri"/>
          <w:b/>
          <w:szCs w:val="40"/>
        </w:rPr>
      </w:pPr>
      <w:r>
        <w:rPr>
          <w:rFonts w:ascii="Calibri" w:hAnsi="Calibri" w:cs="Calibri"/>
          <w:b/>
          <w:szCs w:val="40"/>
        </w:rPr>
        <w:t xml:space="preserve">FIN07 </w:t>
      </w:r>
      <w:r w:rsidR="00216C47">
        <w:rPr>
          <w:rFonts w:ascii="Calibri" w:hAnsi="Calibri" w:cs="Calibri"/>
          <w:b/>
          <w:szCs w:val="40"/>
        </w:rPr>
        <w:t>TENDERING POLIC</w:t>
      </w:r>
      <w:r w:rsidR="00246C0B">
        <w:rPr>
          <w:rFonts w:ascii="Calibri" w:hAnsi="Calibri" w:cs="Calibri"/>
          <w:b/>
          <w:szCs w:val="40"/>
        </w:rPr>
        <w:t>Y</w:t>
      </w:r>
      <w:bookmarkStart w:id="0" w:name="_GoBack"/>
      <w:bookmarkEnd w:id="0"/>
    </w:p>
    <w:p w14:paraId="5E5AFBCC" w14:textId="77777777" w:rsidR="002B1CA1" w:rsidRPr="00B22E7A" w:rsidRDefault="002B1CA1">
      <w:pPr>
        <w:rPr>
          <w:rFonts w:ascii="Calibri" w:hAnsi="Calibri" w:cs="Calibri"/>
          <w:sz w:val="40"/>
          <w:szCs w:val="40"/>
        </w:rPr>
      </w:pPr>
    </w:p>
    <w:p w14:paraId="637AB865" w14:textId="77777777" w:rsidR="00363F46" w:rsidRPr="00B22E7A" w:rsidRDefault="00363F46" w:rsidP="00363F46">
      <w:pPr>
        <w:rPr>
          <w:rFonts w:ascii="Calibri" w:hAnsi="Calibri" w:cs="Calibri"/>
          <w:sz w:val="24"/>
          <w:szCs w:val="24"/>
        </w:rPr>
      </w:pPr>
    </w:p>
    <w:p w14:paraId="7600DB1F" w14:textId="77777777" w:rsidR="00363F46" w:rsidRPr="00B22E7A" w:rsidRDefault="00363F46" w:rsidP="00363F46">
      <w:pPr>
        <w:spacing w:after="200" w:line="276" w:lineRule="auto"/>
        <w:jc w:val="both"/>
        <w:rPr>
          <w:rFonts w:ascii="Calibri" w:hAnsi="Calibri"/>
          <w:bCs/>
        </w:rPr>
      </w:pPr>
      <w:r w:rsidRPr="00B22E7A">
        <w:rPr>
          <w:rFonts w:ascii="Calibri" w:hAnsi="Calibri"/>
          <w:bCs/>
        </w:rPr>
        <w:t xml:space="preserve">All College policies and procedures adhere to the guidelines and ethos of Equality and Diversity. </w:t>
      </w:r>
    </w:p>
    <w:p w14:paraId="19E32BB3" w14:textId="77777777" w:rsidR="00363F46" w:rsidRPr="00B22E7A" w:rsidRDefault="00363F46" w:rsidP="00363F46">
      <w:pPr>
        <w:rPr>
          <w:rFonts w:ascii="Calibri" w:hAnsi="Calibri" w:cs="Calibri"/>
          <w:sz w:val="24"/>
          <w:szCs w:val="24"/>
        </w:rPr>
      </w:pPr>
    </w:p>
    <w:p w14:paraId="3B103A2F" w14:textId="77777777" w:rsidR="00363F46" w:rsidRPr="00B22E7A" w:rsidRDefault="00363F46" w:rsidP="00363F46">
      <w:pPr>
        <w:rPr>
          <w:rFonts w:ascii="Calibri" w:hAnsi="Calibri" w:cs="Calibri"/>
          <w:bCs/>
          <w:sz w:val="24"/>
          <w:szCs w:val="24"/>
        </w:rPr>
      </w:pPr>
    </w:p>
    <w:p w14:paraId="7894F3D7" w14:textId="77777777" w:rsidR="00363F46" w:rsidRPr="00B22E7A" w:rsidRDefault="00363F46" w:rsidP="00363F46">
      <w:pPr>
        <w:rPr>
          <w:rFonts w:ascii="Calibri" w:hAnsi="Calibri" w:cs="Calibri"/>
          <w:bCs/>
          <w:sz w:val="24"/>
          <w:szCs w:val="24"/>
        </w:rPr>
      </w:pPr>
    </w:p>
    <w:p w14:paraId="055B65FC" w14:textId="77777777" w:rsidR="00363F46" w:rsidRPr="00B22E7A" w:rsidRDefault="00363F46" w:rsidP="00363F46">
      <w:pPr>
        <w:jc w:val="center"/>
        <w:rPr>
          <w:rFonts w:ascii="Calibri" w:hAnsi="Calibri" w:cs="Calibri"/>
        </w:rPr>
      </w:pPr>
    </w:p>
    <w:p w14:paraId="1E643729" w14:textId="77777777" w:rsidR="00363F46" w:rsidRPr="00B22E7A" w:rsidRDefault="00363F46" w:rsidP="00363F46">
      <w:pPr>
        <w:jc w:val="center"/>
        <w:rPr>
          <w:rFonts w:ascii="Calibri" w:hAnsi="Calibri" w:cs="Calibri"/>
        </w:rPr>
      </w:pPr>
    </w:p>
    <w:p w14:paraId="05A4E5BB" w14:textId="77777777" w:rsidR="00363F46" w:rsidRPr="00B22E7A" w:rsidRDefault="00862D34" w:rsidP="00363F46">
      <w:pPr>
        <w:jc w:val="right"/>
        <w:rPr>
          <w:rFonts w:ascii="Calibri" w:hAnsi="Calibri" w:cs="Calibri"/>
          <w:bCs/>
          <w:sz w:val="24"/>
          <w:szCs w:val="24"/>
        </w:rPr>
      </w:pPr>
      <w:r w:rsidRPr="00B22E7A">
        <w:rPr>
          <w:rFonts w:ascii="Calibri" w:hAnsi="Calibri" w:cs="Calibri"/>
          <w:bCs/>
          <w:noProof/>
          <w:sz w:val="24"/>
          <w:szCs w:val="24"/>
          <w:lang w:eastAsia="en-GB"/>
        </w:rPr>
        <mc:AlternateContent>
          <mc:Choice Requires="wps">
            <w:drawing>
              <wp:anchor distT="0" distB="0" distL="114300" distR="114300" simplePos="0" relativeHeight="251657728" behindDoc="0" locked="0" layoutInCell="1" allowOverlap="1" wp14:anchorId="0FF43C9E" wp14:editId="27C63C89">
                <wp:simplePos x="0" y="0"/>
                <wp:positionH relativeFrom="column">
                  <wp:align>center</wp:align>
                </wp:positionH>
                <wp:positionV relativeFrom="paragraph">
                  <wp:posOffset>0</wp:posOffset>
                </wp:positionV>
                <wp:extent cx="2809240" cy="1284605"/>
                <wp:effectExtent l="6350" t="6350" r="1333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1284605"/>
                        </a:xfrm>
                        <a:prstGeom prst="rect">
                          <a:avLst/>
                        </a:prstGeom>
                        <a:solidFill>
                          <a:srgbClr val="FFFFFF"/>
                        </a:solidFill>
                        <a:ln w="9525">
                          <a:solidFill>
                            <a:srgbClr val="000000"/>
                          </a:solidFill>
                          <a:miter lim="800000"/>
                          <a:headEnd/>
                          <a:tailEnd/>
                        </a:ln>
                      </wps:spPr>
                      <wps:txbx>
                        <w:txbxContent>
                          <w:p w14:paraId="4EC794AF" w14:textId="77777777" w:rsidR="00363F46" w:rsidRDefault="00363F46" w:rsidP="00363F46">
                            <w:pPr>
                              <w:jc w:val="center"/>
                              <w:rPr>
                                <w:rFonts w:ascii="Calibri" w:hAnsi="Calibri" w:cs="Calibri"/>
                              </w:rPr>
                            </w:pPr>
                            <w:r>
                              <w:rPr>
                                <w:rFonts w:ascii="Calibri" w:hAnsi="Calibri" w:cs="Calibri"/>
                              </w:rPr>
                              <w:t>When printed this document becomes</w:t>
                            </w:r>
                          </w:p>
                          <w:p w14:paraId="599FE712" w14:textId="77777777" w:rsidR="00363F46" w:rsidRDefault="00363F46" w:rsidP="00363F46">
                            <w:pPr>
                              <w:jc w:val="center"/>
                              <w:rPr>
                                <w:rFonts w:ascii="Calibri" w:hAnsi="Calibri" w:cs="Calibri"/>
                              </w:rPr>
                            </w:pPr>
                          </w:p>
                          <w:p w14:paraId="66709426" w14:textId="77777777" w:rsidR="00363F46" w:rsidRPr="00202FE0" w:rsidRDefault="00363F46" w:rsidP="00363F46">
                            <w:pPr>
                              <w:jc w:val="center"/>
                              <w:rPr>
                                <w:rFonts w:ascii="Calibri" w:hAnsi="Calibri" w:cs="Calibri"/>
                                <w:b/>
                              </w:rPr>
                            </w:pPr>
                            <w:r w:rsidRPr="00202FE0">
                              <w:rPr>
                                <w:rFonts w:ascii="Calibri" w:hAnsi="Calibri" w:cs="Calibri"/>
                                <w:b/>
                              </w:rPr>
                              <w:t>UNCONTROLLED COPY</w:t>
                            </w:r>
                          </w:p>
                          <w:p w14:paraId="07F06441" w14:textId="77777777" w:rsidR="00363F46" w:rsidRDefault="00363F46" w:rsidP="00363F46">
                            <w:pPr>
                              <w:jc w:val="center"/>
                              <w:rPr>
                                <w:rFonts w:ascii="Calibri" w:hAnsi="Calibri" w:cs="Calibri"/>
                              </w:rPr>
                            </w:pPr>
                          </w:p>
                          <w:p w14:paraId="2C42BB0D" w14:textId="77777777" w:rsidR="00363F46" w:rsidRPr="00202FE0" w:rsidRDefault="00363F46" w:rsidP="00363F46">
                            <w:pPr>
                              <w:jc w:val="center"/>
                              <w:rPr>
                                <w:rFonts w:ascii="Calibri" w:hAnsi="Calibri" w:cs="Calibri"/>
                              </w:rPr>
                            </w:pPr>
                            <w:r>
                              <w:rPr>
                                <w:rFonts w:ascii="Calibri" w:hAnsi="Calibri" w:cs="Calibri"/>
                              </w:rPr>
                              <w:t>Always refer to the Intranet to ensure you are accessing the current version.</w:t>
                            </w:r>
                          </w:p>
                          <w:p w14:paraId="170EA65C" w14:textId="77777777" w:rsidR="00363F46" w:rsidRDefault="00363F46" w:rsidP="00363F4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F43C9E" id="_x0000_t202" coordsize="21600,21600" o:spt="202" path="m,l,21600r21600,l21600,xe">
                <v:stroke joinstyle="miter"/>
                <v:path gradientshapeok="t" o:connecttype="rect"/>
              </v:shapetype>
              <v:shape id="Text Box 2" o:spid="_x0000_s1026" type="#_x0000_t202" style="position:absolute;left:0;text-align:left;margin-left:0;margin-top:0;width:221.2pt;height:101.15pt;z-index:2516577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">
                <v:textbox style="mso-fit-shape-to-text:t">
                  <w:txbxContent>
                    <w:p w14:paraId="4EC794AF" w14:textId="77777777" w:rsidR="00363F46" w:rsidRDefault="00363F46" w:rsidP="00363F46">
                      <w:pPr>
                        <w:jc w:val="center"/>
                        <w:rPr>
                          <w:rFonts w:ascii="Calibri" w:hAnsi="Calibri" w:cs="Calibri"/>
                        </w:rPr>
                      </w:pPr>
                      <w:r>
                        <w:rPr>
                          <w:rFonts w:ascii="Calibri" w:hAnsi="Calibri" w:cs="Calibri"/>
                        </w:rPr>
                        <w:t>When printed this document becomes</w:t>
                      </w:r>
                    </w:p>
                    <w:p w14:paraId="599FE712" w14:textId="77777777" w:rsidR="00363F46" w:rsidRDefault="00363F46" w:rsidP="00363F46">
                      <w:pPr>
                        <w:jc w:val="center"/>
                        <w:rPr>
                          <w:rFonts w:ascii="Calibri" w:hAnsi="Calibri" w:cs="Calibri"/>
                        </w:rPr>
                      </w:pPr>
                    </w:p>
                    <w:p w14:paraId="66709426" w14:textId="77777777" w:rsidR="00363F46" w:rsidRPr="00202FE0" w:rsidRDefault="00363F46" w:rsidP="00363F46">
                      <w:pPr>
                        <w:jc w:val="center"/>
                        <w:rPr>
                          <w:rFonts w:ascii="Calibri" w:hAnsi="Calibri" w:cs="Calibri"/>
                          <w:b/>
                        </w:rPr>
                      </w:pPr>
                      <w:r w:rsidRPr="00202FE0">
                        <w:rPr>
                          <w:rFonts w:ascii="Calibri" w:hAnsi="Calibri" w:cs="Calibri"/>
                          <w:b/>
                        </w:rPr>
                        <w:t>UNCONTROLLED COPY</w:t>
                      </w:r>
                    </w:p>
                    <w:p w14:paraId="07F06441" w14:textId="77777777" w:rsidR="00363F46" w:rsidRDefault="00363F46" w:rsidP="00363F46">
                      <w:pPr>
                        <w:jc w:val="center"/>
                        <w:rPr>
                          <w:rFonts w:ascii="Calibri" w:hAnsi="Calibri" w:cs="Calibri"/>
                        </w:rPr>
                      </w:pPr>
                    </w:p>
                    <w:p w14:paraId="2C42BB0D" w14:textId="77777777" w:rsidR="00363F46" w:rsidRPr="00202FE0" w:rsidRDefault="00363F46" w:rsidP="00363F46">
                      <w:pPr>
                        <w:jc w:val="center"/>
                        <w:rPr>
                          <w:rFonts w:ascii="Calibri" w:hAnsi="Calibri" w:cs="Calibri"/>
                        </w:rPr>
                      </w:pPr>
                      <w:r>
                        <w:rPr>
                          <w:rFonts w:ascii="Calibri" w:hAnsi="Calibri" w:cs="Calibri"/>
                        </w:rPr>
                        <w:t>Always refer to the Intranet to ensure you are accessing the current version.</w:t>
                      </w:r>
                    </w:p>
                    <w:p w14:paraId="170EA65C" w14:textId="77777777" w:rsidR="00363F46" w:rsidRDefault="00363F46" w:rsidP="00363F46"/>
                  </w:txbxContent>
                </v:textbox>
              </v:shape>
            </w:pict>
          </mc:Fallback>
        </mc:AlternateContent>
      </w:r>
    </w:p>
    <w:p w14:paraId="220DF580" w14:textId="77777777" w:rsidR="00363F46" w:rsidRPr="00B22E7A" w:rsidRDefault="00363F46" w:rsidP="00363F46">
      <w:pPr>
        <w:rPr>
          <w:rFonts w:ascii="Calibri" w:hAnsi="Calibri" w:cs="Calibri"/>
          <w:sz w:val="24"/>
          <w:szCs w:val="24"/>
        </w:rPr>
      </w:pPr>
    </w:p>
    <w:p w14:paraId="0C8FFCAE" w14:textId="77777777" w:rsidR="00363F46" w:rsidRPr="00B22E7A" w:rsidRDefault="00363F46" w:rsidP="00363F46">
      <w:pPr>
        <w:rPr>
          <w:rFonts w:ascii="Calibri" w:hAnsi="Calibri" w:cs="Calibri"/>
          <w:sz w:val="24"/>
          <w:szCs w:val="24"/>
        </w:rPr>
      </w:pPr>
    </w:p>
    <w:p w14:paraId="0ADD5623" w14:textId="77777777" w:rsidR="00363F46" w:rsidRPr="00B22E7A" w:rsidRDefault="00363F46" w:rsidP="00363F46">
      <w:pPr>
        <w:rPr>
          <w:rFonts w:ascii="Calibri" w:hAnsi="Calibri" w:cs="Calibri"/>
          <w:sz w:val="24"/>
          <w:szCs w:val="24"/>
        </w:rPr>
      </w:pPr>
    </w:p>
    <w:p w14:paraId="683E35A9" w14:textId="77777777" w:rsidR="00363F46" w:rsidRPr="00B22E7A" w:rsidRDefault="00363F46" w:rsidP="00363F46">
      <w:pPr>
        <w:rPr>
          <w:rFonts w:ascii="Calibri" w:hAnsi="Calibri" w:cs="Calibri"/>
          <w:sz w:val="24"/>
          <w:szCs w:val="24"/>
        </w:rPr>
      </w:pPr>
    </w:p>
    <w:p w14:paraId="359D7008" w14:textId="77777777" w:rsidR="00363F46" w:rsidRPr="00B22E7A" w:rsidRDefault="00363F46" w:rsidP="00363F46">
      <w:pPr>
        <w:rPr>
          <w:rFonts w:ascii="Calibri" w:hAnsi="Calibri" w:cs="Calibri"/>
          <w:sz w:val="24"/>
          <w:szCs w:val="24"/>
        </w:rPr>
      </w:pPr>
    </w:p>
    <w:p w14:paraId="73DFC25D" w14:textId="77777777" w:rsidR="00363F46" w:rsidRPr="00B22E7A" w:rsidRDefault="00363F46" w:rsidP="00363F46">
      <w:pPr>
        <w:tabs>
          <w:tab w:val="left" w:pos="6825"/>
        </w:tabs>
        <w:rPr>
          <w:rFonts w:ascii="Calibri" w:hAnsi="Calibri" w:cs="Calibri"/>
          <w:sz w:val="24"/>
          <w:szCs w:val="24"/>
        </w:rPr>
      </w:pPr>
      <w:r w:rsidRPr="00B22E7A">
        <w:rPr>
          <w:rFonts w:ascii="Calibri" w:hAnsi="Calibri" w:cs="Calibri"/>
          <w:sz w:val="24"/>
          <w:szCs w:val="24"/>
        </w:rPr>
        <w:tab/>
      </w:r>
    </w:p>
    <w:p w14:paraId="7DB3C231" w14:textId="77777777" w:rsidR="007C26BF" w:rsidRPr="00B22E7A" w:rsidRDefault="007C26BF">
      <w:pPr>
        <w:rPr>
          <w:rFonts w:ascii="Calibri" w:hAnsi="Calibri" w:cs="Calibri"/>
          <w:sz w:val="24"/>
          <w:szCs w:val="24"/>
        </w:rPr>
      </w:pPr>
    </w:p>
    <w:p w14:paraId="742DE003" w14:textId="77777777" w:rsidR="007C26BF" w:rsidRPr="00B22E7A" w:rsidRDefault="007C26BF">
      <w:pPr>
        <w:rPr>
          <w:rFonts w:ascii="Calibri" w:hAnsi="Calibri" w:cs="Calibri"/>
          <w:sz w:val="24"/>
          <w:szCs w:val="24"/>
        </w:rPr>
      </w:pPr>
    </w:p>
    <w:p w14:paraId="1EF7CA01" w14:textId="77777777" w:rsidR="007C26BF" w:rsidRPr="00B22E7A" w:rsidRDefault="007C26BF">
      <w:pPr>
        <w:rPr>
          <w:rFonts w:ascii="Calibri" w:hAnsi="Calibri" w:cs="Calibri"/>
          <w:sz w:val="24"/>
          <w:szCs w:val="24"/>
        </w:rPr>
      </w:pPr>
    </w:p>
    <w:p w14:paraId="230D4608" w14:textId="77777777" w:rsidR="007C26BF" w:rsidRPr="00B22E7A" w:rsidRDefault="007C26BF">
      <w:pPr>
        <w:rPr>
          <w:rFonts w:ascii="Calibri" w:hAnsi="Calibri" w:cs="Calibri"/>
          <w:sz w:val="24"/>
          <w:szCs w:val="24"/>
        </w:rPr>
      </w:pPr>
    </w:p>
    <w:p w14:paraId="4F446730" w14:textId="77777777" w:rsidR="007C26BF" w:rsidRPr="00B22E7A" w:rsidRDefault="007C26BF">
      <w:pPr>
        <w:rPr>
          <w:rFonts w:ascii="Calibri" w:hAnsi="Calibri" w:cs="Calibri"/>
          <w:sz w:val="24"/>
          <w:szCs w:val="24"/>
        </w:rPr>
      </w:pPr>
    </w:p>
    <w:p w14:paraId="0E3784D1" w14:textId="77777777" w:rsidR="007C26BF" w:rsidRPr="00B22E7A" w:rsidRDefault="007C26BF">
      <w:pPr>
        <w:rPr>
          <w:rFonts w:ascii="Calibri" w:hAnsi="Calibri" w:cs="Calibri"/>
          <w:sz w:val="24"/>
          <w:szCs w:val="24"/>
        </w:rPr>
      </w:pPr>
    </w:p>
    <w:p w14:paraId="02EEFA61" w14:textId="77777777" w:rsidR="007C26BF" w:rsidRPr="00B22E7A" w:rsidRDefault="007C26BF">
      <w:pPr>
        <w:rPr>
          <w:rFonts w:ascii="Calibri" w:hAnsi="Calibri" w:cs="Calibri"/>
          <w:sz w:val="24"/>
          <w:szCs w:val="24"/>
        </w:rPr>
      </w:pPr>
    </w:p>
    <w:p w14:paraId="25081469" w14:textId="77777777" w:rsidR="002B1CA1" w:rsidRPr="00B22E7A" w:rsidRDefault="002B1CA1">
      <w:pPr>
        <w:rPr>
          <w:rFonts w:ascii="Calibri" w:hAnsi="Calibri"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8"/>
        <w:gridCol w:w="1471"/>
        <w:gridCol w:w="1324"/>
        <w:gridCol w:w="1109"/>
        <w:gridCol w:w="3897"/>
      </w:tblGrid>
      <w:tr w:rsidR="00EE0ED9" w:rsidRPr="00B22E7A" w14:paraId="4BAF7A23" w14:textId="77777777" w:rsidTr="005D314B">
        <w:trPr>
          <w:trHeight w:val="688"/>
        </w:trPr>
        <w:tc>
          <w:tcPr>
            <w:tcW w:w="1218" w:type="dxa"/>
            <w:shd w:val="pct12" w:color="auto" w:fill="auto"/>
          </w:tcPr>
          <w:p w14:paraId="4203CA53" w14:textId="77777777" w:rsidR="007C26BF" w:rsidRPr="00B22E7A" w:rsidRDefault="007C26BF" w:rsidP="00B22E7A">
            <w:pPr>
              <w:spacing w:after="200" w:line="276" w:lineRule="auto"/>
              <w:jc w:val="both"/>
              <w:rPr>
                <w:rFonts w:ascii="Calibri" w:hAnsi="Calibri"/>
                <w:b/>
                <w:bCs/>
                <w:szCs w:val="22"/>
              </w:rPr>
            </w:pPr>
            <w:r w:rsidRPr="00B22E7A">
              <w:rPr>
                <w:rFonts w:ascii="Calibri" w:hAnsi="Calibri"/>
                <w:b/>
                <w:bCs/>
                <w:szCs w:val="22"/>
              </w:rPr>
              <w:t>Date Origin</w:t>
            </w:r>
          </w:p>
        </w:tc>
        <w:tc>
          <w:tcPr>
            <w:tcW w:w="1471" w:type="dxa"/>
            <w:shd w:val="pct12" w:color="auto" w:fill="auto"/>
          </w:tcPr>
          <w:p w14:paraId="2675BC41" w14:textId="77777777" w:rsidR="007C26BF" w:rsidRPr="00B22E7A" w:rsidRDefault="007C26BF" w:rsidP="00B22E7A">
            <w:pPr>
              <w:spacing w:after="200" w:line="276" w:lineRule="auto"/>
              <w:jc w:val="both"/>
              <w:rPr>
                <w:rFonts w:ascii="Calibri" w:hAnsi="Calibri"/>
                <w:b/>
                <w:bCs/>
                <w:szCs w:val="22"/>
              </w:rPr>
            </w:pPr>
            <w:r w:rsidRPr="00B22E7A">
              <w:rPr>
                <w:rFonts w:ascii="Calibri" w:hAnsi="Calibri"/>
                <w:b/>
                <w:bCs/>
                <w:szCs w:val="22"/>
              </w:rPr>
              <w:t>Last Updated</w:t>
            </w:r>
          </w:p>
        </w:tc>
        <w:tc>
          <w:tcPr>
            <w:tcW w:w="1324" w:type="dxa"/>
            <w:shd w:val="pct12" w:color="auto" w:fill="auto"/>
          </w:tcPr>
          <w:p w14:paraId="0DC3C4E3" w14:textId="77777777" w:rsidR="007C26BF" w:rsidRPr="00B22E7A" w:rsidRDefault="007C26BF" w:rsidP="00B22E7A">
            <w:pPr>
              <w:spacing w:after="200" w:line="276" w:lineRule="auto"/>
              <w:jc w:val="both"/>
              <w:rPr>
                <w:rFonts w:ascii="Calibri" w:hAnsi="Calibri"/>
                <w:b/>
                <w:bCs/>
                <w:szCs w:val="22"/>
              </w:rPr>
            </w:pPr>
            <w:r w:rsidRPr="00B22E7A">
              <w:rPr>
                <w:rFonts w:ascii="Calibri" w:hAnsi="Calibri"/>
                <w:b/>
                <w:bCs/>
                <w:szCs w:val="22"/>
              </w:rPr>
              <w:t>Proposed Review Date</w:t>
            </w:r>
          </w:p>
        </w:tc>
        <w:tc>
          <w:tcPr>
            <w:tcW w:w="1109" w:type="dxa"/>
            <w:shd w:val="pct12" w:color="auto" w:fill="auto"/>
          </w:tcPr>
          <w:p w14:paraId="2A64DF94" w14:textId="77777777" w:rsidR="007C26BF" w:rsidRPr="00B22E7A" w:rsidRDefault="007C26BF" w:rsidP="00B22E7A">
            <w:pPr>
              <w:spacing w:after="200" w:line="276" w:lineRule="auto"/>
              <w:jc w:val="both"/>
              <w:rPr>
                <w:rFonts w:ascii="Calibri" w:hAnsi="Calibri"/>
                <w:b/>
                <w:bCs/>
                <w:szCs w:val="22"/>
              </w:rPr>
            </w:pPr>
            <w:r w:rsidRPr="00B22E7A">
              <w:rPr>
                <w:rFonts w:ascii="Calibri" w:hAnsi="Calibri"/>
                <w:b/>
                <w:bCs/>
                <w:szCs w:val="22"/>
              </w:rPr>
              <w:t>EQIA Date</w:t>
            </w:r>
          </w:p>
        </w:tc>
        <w:tc>
          <w:tcPr>
            <w:tcW w:w="3897" w:type="dxa"/>
            <w:shd w:val="pct12" w:color="auto" w:fill="auto"/>
          </w:tcPr>
          <w:p w14:paraId="7AE2038F" w14:textId="77777777" w:rsidR="007C26BF" w:rsidRPr="00B22E7A" w:rsidRDefault="007C26BF" w:rsidP="00B22E7A">
            <w:pPr>
              <w:spacing w:after="200" w:line="276" w:lineRule="auto"/>
              <w:jc w:val="both"/>
              <w:rPr>
                <w:rFonts w:ascii="Calibri" w:hAnsi="Calibri"/>
                <w:b/>
                <w:bCs/>
                <w:szCs w:val="22"/>
              </w:rPr>
            </w:pPr>
            <w:r w:rsidRPr="00B22E7A">
              <w:rPr>
                <w:rFonts w:ascii="Calibri" w:hAnsi="Calibri"/>
                <w:b/>
                <w:bCs/>
                <w:szCs w:val="22"/>
              </w:rPr>
              <w:t>Responsibility for Review</w:t>
            </w:r>
          </w:p>
        </w:tc>
      </w:tr>
      <w:tr w:rsidR="00EE0ED9" w:rsidRPr="00B22E7A" w14:paraId="407F6259" w14:textId="77777777" w:rsidTr="005D314B">
        <w:tc>
          <w:tcPr>
            <w:tcW w:w="1218" w:type="dxa"/>
            <w:shd w:val="clear" w:color="auto" w:fill="auto"/>
          </w:tcPr>
          <w:p w14:paraId="25ED6DDA" w14:textId="77777777" w:rsidR="007C26BF" w:rsidRPr="00B22E7A" w:rsidRDefault="006D77EB" w:rsidP="00B22E7A">
            <w:pPr>
              <w:spacing w:after="200" w:line="276" w:lineRule="auto"/>
              <w:jc w:val="both"/>
              <w:rPr>
                <w:rFonts w:ascii="Calibri" w:hAnsi="Calibri"/>
                <w:bCs/>
                <w:szCs w:val="22"/>
              </w:rPr>
            </w:pPr>
            <w:r>
              <w:rPr>
                <w:rFonts w:ascii="Calibri" w:hAnsi="Calibri"/>
                <w:bCs/>
                <w:szCs w:val="22"/>
              </w:rPr>
              <w:t>Jan 2014</w:t>
            </w:r>
          </w:p>
        </w:tc>
        <w:tc>
          <w:tcPr>
            <w:tcW w:w="1471" w:type="dxa"/>
            <w:shd w:val="clear" w:color="auto" w:fill="auto"/>
          </w:tcPr>
          <w:p w14:paraId="209C1592" w14:textId="2AB07FF6" w:rsidR="007C26BF" w:rsidRPr="00B22E7A" w:rsidRDefault="005D314B" w:rsidP="00B22E7A">
            <w:pPr>
              <w:spacing w:after="200" w:line="276" w:lineRule="auto"/>
              <w:jc w:val="both"/>
              <w:rPr>
                <w:rFonts w:ascii="Calibri" w:hAnsi="Calibri"/>
                <w:bCs/>
                <w:szCs w:val="22"/>
              </w:rPr>
            </w:pPr>
            <w:r>
              <w:rPr>
                <w:rFonts w:ascii="Calibri" w:hAnsi="Calibri"/>
                <w:bCs/>
                <w:szCs w:val="22"/>
              </w:rPr>
              <w:t>August 2021</w:t>
            </w:r>
          </w:p>
        </w:tc>
        <w:tc>
          <w:tcPr>
            <w:tcW w:w="1324" w:type="dxa"/>
            <w:shd w:val="clear" w:color="auto" w:fill="auto"/>
          </w:tcPr>
          <w:p w14:paraId="1EF43F8F" w14:textId="53A0C238" w:rsidR="007C26BF" w:rsidRPr="00B22E7A" w:rsidRDefault="00F97FB0" w:rsidP="00B22E7A">
            <w:pPr>
              <w:spacing w:after="200" w:line="276" w:lineRule="auto"/>
              <w:jc w:val="both"/>
              <w:rPr>
                <w:rFonts w:ascii="Calibri" w:hAnsi="Calibri"/>
                <w:bCs/>
                <w:szCs w:val="22"/>
              </w:rPr>
            </w:pPr>
            <w:r>
              <w:rPr>
                <w:rFonts w:ascii="Calibri" w:hAnsi="Calibri"/>
                <w:bCs/>
                <w:szCs w:val="22"/>
              </w:rPr>
              <w:t xml:space="preserve">July </w:t>
            </w:r>
            <w:r w:rsidR="005A77A0">
              <w:rPr>
                <w:rFonts w:ascii="Calibri" w:hAnsi="Calibri"/>
                <w:bCs/>
                <w:szCs w:val="22"/>
              </w:rPr>
              <w:t>202</w:t>
            </w:r>
            <w:r w:rsidR="005D314B">
              <w:rPr>
                <w:rFonts w:ascii="Calibri" w:hAnsi="Calibri"/>
                <w:bCs/>
                <w:szCs w:val="22"/>
              </w:rPr>
              <w:t>2</w:t>
            </w:r>
          </w:p>
        </w:tc>
        <w:tc>
          <w:tcPr>
            <w:tcW w:w="1109" w:type="dxa"/>
            <w:shd w:val="clear" w:color="auto" w:fill="auto"/>
          </w:tcPr>
          <w:p w14:paraId="1B37094C" w14:textId="77777777" w:rsidR="007C26BF" w:rsidRPr="00B22E7A" w:rsidRDefault="009D1033" w:rsidP="00B22E7A">
            <w:pPr>
              <w:spacing w:after="200" w:line="276" w:lineRule="auto"/>
              <w:jc w:val="both"/>
              <w:rPr>
                <w:rFonts w:ascii="Calibri" w:hAnsi="Calibri"/>
                <w:bCs/>
                <w:szCs w:val="22"/>
              </w:rPr>
            </w:pPr>
            <w:r>
              <w:rPr>
                <w:rFonts w:ascii="Calibri" w:hAnsi="Calibri"/>
                <w:bCs/>
                <w:szCs w:val="22"/>
              </w:rPr>
              <w:t>TBC</w:t>
            </w:r>
          </w:p>
        </w:tc>
        <w:tc>
          <w:tcPr>
            <w:tcW w:w="3897" w:type="dxa"/>
            <w:shd w:val="clear" w:color="auto" w:fill="auto"/>
          </w:tcPr>
          <w:p w14:paraId="296C72DD" w14:textId="77777777" w:rsidR="007C26BF" w:rsidRPr="00B22E7A" w:rsidRDefault="005A77A0" w:rsidP="00B22E7A">
            <w:pPr>
              <w:spacing w:after="200" w:line="276" w:lineRule="auto"/>
              <w:jc w:val="both"/>
              <w:rPr>
                <w:rFonts w:ascii="Calibri" w:hAnsi="Calibri"/>
                <w:bCs/>
                <w:szCs w:val="22"/>
              </w:rPr>
            </w:pPr>
            <w:r>
              <w:rPr>
                <w:rFonts w:ascii="Calibri" w:hAnsi="Calibri"/>
                <w:bCs/>
                <w:szCs w:val="22"/>
              </w:rPr>
              <w:t>Financial Controller</w:t>
            </w:r>
          </w:p>
        </w:tc>
      </w:tr>
    </w:tbl>
    <w:p w14:paraId="71ECD6E8" w14:textId="77777777" w:rsidR="002B1CA1" w:rsidRPr="00B22E7A" w:rsidRDefault="002B1CA1">
      <w:pPr>
        <w:rPr>
          <w:rFonts w:ascii="Calibri" w:hAnsi="Calibri" w:cs="Calibri"/>
          <w:sz w:val="24"/>
          <w:szCs w:val="24"/>
        </w:rPr>
      </w:pPr>
    </w:p>
    <w:p w14:paraId="25FD75AC" w14:textId="77777777" w:rsidR="002B1CA1" w:rsidRPr="00B22E7A" w:rsidRDefault="002B1CA1">
      <w:pPr>
        <w:rPr>
          <w:rFonts w:ascii="Calibri" w:hAnsi="Calibri" w:cs="Calibri"/>
          <w:sz w:val="24"/>
          <w:szCs w:val="24"/>
        </w:rPr>
        <w:sectPr w:rsidR="002B1CA1" w:rsidRPr="00B22E7A">
          <w:pgSz w:w="11909" w:h="16834" w:code="9"/>
          <w:pgMar w:top="1440" w:right="1440" w:bottom="1440" w:left="1440" w:header="720" w:footer="720" w:gutter="0"/>
          <w:cols w:space="720"/>
        </w:sectPr>
      </w:pPr>
    </w:p>
    <w:p w14:paraId="079816D6" w14:textId="77777777" w:rsidR="00DC7130" w:rsidRPr="001449D7" w:rsidRDefault="00DC7130" w:rsidP="00DC7130">
      <w:pPr>
        <w:pStyle w:val="Default"/>
        <w:numPr>
          <w:ilvl w:val="0"/>
          <w:numId w:val="17"/>
        </w:numPr>
        <w:ind w:left="284" w:hanging="284"/>
        <w:rPr>
          <w:rFonts w:ascii="Calibri" w:hAnsi="Calibri"/>
          <w:b/>
          <w:bCs/>
          <w:sz w:val="20"/>
          <w:szCs w:val="20"/>
        </w:rPr>
      </w:pPr>
      <w:r w:rsidRPr="001449D7">
        <w:rPr>
          <w:rFonts w:ascii="Calibri" w:hAnsi="Calibri"/>
          <w:b/>
          <w:sz w:val="20"/>
          <w:szCs w:val="20"/>
        </w:rPr>
        <w:lastRenderedPageBreak/>
        <w:t xml:space="preserve"> </w:t>
      </w:r>
      <w:r w:rsidRPr="001449D7">
        <w:rPr>
          <w:rFonts w:ascii="Calibri" w:hAnsi="Calibri"/>
          <w:b/>
          <w:bCs/>
          <w:sz w:val="20"/>
          <w:szCs w:val="20"/>
        </w:rPr>
        <w:t xml:space="preserve">Purpose </w:t>
      </w:r>
    </w:p>
    <w:p w14:paraId="70B0D0ED" w14:textId="77777777" w:rsidR="00767F10" w:rsidRPr="00CB4828" w:rsidRDefault="00767F10" w:rsidP="00767F10">
      <w:pPr>
        <w:pStyle w:val="Default"/>
        <w:rPr>
          <w:rFonts w:ascii="Calibri" w:hAnsi="Calibri"/>
          <w:b/>
          <w:bCs/>
          <w:sz w:val="23"/>
          <w:szCs w:val="23"/>
        </w:rPr>
      </w:pPr>
    </w:p>
    <w:p w14:paraId="4A4C1559" w14:textId="77777777" w:rsidR="009D1033" w:rsidRPr="009D1033" w:rsidRDefault="009D1033" w:rsidP="009D1033">
      <w:pPr>
        <w:jc w:val="both"/>
        <w:rPr>
          <w:rFonts w:asciiTheme="minorHAnsi" w:hAnsiTheme="minorHAnsi"/>
          <w:sz w:val="20"/>
        </w:rPr>
      </w:pPr>
      <w:r w:rsidRPr="009D1033">
        <w:rPr>
          <w:rFonts w:asciiTheme="minorHAnsi" w:hAnsiTheme="minorHAnsi"/>
          <w:sz w:val="20"/>
        </w:rPr>
        <w:t>This policy refers to the procurement of all goods, services and works on behalf of the College. The policy and associated procedures ensure all procurement of goods, services and works are achieved at competitive prices, and are governed by the EU Principles of equal treatment, non-discriminatory, mutual recognition, transparency, proportionality and compliance with the sustainable procurement duty, and other relevant statutory requirements. In adherence to the regulations the College can demonstrate its accountability for, and good stewardship of the funds at its disposal.</w:t>
      </w:r>
    </w:p>
    <w:p w14:paraId="63DBDDE8" w14:textId="77777777" w:rsidR="009D1033" w:rsidRPr="009D1033" w:rsidRDefault="009D1033" w:rsidP="009D1033">
      <w:pPr>
        <w:jc w:val="both"/>
        <w:rPr>
          <w:rFonts w:asciiTheme="minorHAnsi" w:hAnsiTheme="minorHAnsi"/>
          <w:sz w:val="20"/>
        </w:rPr>
      </w:pPr>
    </w:p>
    <w:p w14:paraId="04DD00AD" w14:textId="77777777" w:rsidR="009D1033" w:rsidRPr="009D1033" w:rsidRDefault="009D1033" w:rsidP="009D1033">
      <w:pPr>
        <w:jc w:val="both"/>
        <w:rPr>
          <w:rFonts w:asciiTheme="minorHAnsi" w:hAnsiTheme="minorHAnsi"/>
          <w:sz w:val="20"/>
        </w:rPr>
      </w:pPr>
      <w:r w:rsidRPr="009D1033">
        <w:rPr>
          <w:rFonts w:asciiTheme="minorHAnsi" w:hAnsiTheme="minorHAnsi"/>
          <w:sz w:val="20"/>
        </w:rPr>
        <w:t>This policy is, therefore intended to:</w:t>
      </w:r>
    </w:p>
    <w:p w14:paraId="2D6F95D6" w14:textId="77777777" w:rsidR="009D1033" w:rsidRPr="009D1033" w:rsidRDefault="009D1033" w:rsidP="009D1033">
      <w:pPr>
        <w:jc w:val="both"/>
        <w:rPr>
          <w:rFonts w:asciiTheme="minorHAnsi" w:hAnsiTheme="minorHAnsi"/>
          <w:sz w:val="20"/>
        </w:rPr>
      </w:pPr>
    </w:p>
    <w:p w14:paraId="2CD3F3EE" w14:textId="77777777" w:rsidR="009D1033" w:rsidRPr="009D1033" w:rsidRDefault="009D1033" w:rsidP="009D1033">
      <w:pPr>
        <w:pStyle w:val="ListParagraph"/>
        <w:numPr>
          <w:ilvl w:val="0"/>
          <w:numId w:val="22"/>
        </w:numPr>
        <w:spacing w:after="160" w:line="259" w:lineRule="auto"/>
        <w:contextualSpacing/>
        <w:jc w:val="both"/>
        <w:rPr>
          <w:rFonts w:asciiTheme="minorHAnsi" w:hAnsiTheme="minorHAnsi"/>
          <w:sz w:val="20"/>
        </w:rPr>
      </w:pPr>
      <w:r w:rsidRPr="009D1033">
        <w:rPr>
          <w:rFonts w:asciiTheme="minorHAnsi" w:hAnsiTheme="minorHAnsi"/>
          <w:sz w:val="20"/>
        </w:rPr>
        <w:t>Ensure that procedures are in accordance with standards of public accountability;</w:t>
      </w:r>
    </w:p>
    <w:p w14:paraId="294958D6" w14:textId="6CE26733" w:rsidR="009D1033" w:rsidRPr="009D1033" w:rsidRDefault="009D1033" w:rsidP="0D4B5227">
      <w:pPr>
        <w:pStyle w:val="ListParagraph"/>
        <w:numPr>
          <w:ilvl w:val="0"/>
          <w:numId w:val="22"/>
        </w:numPr>
        <w:spacing w:after="160" w:line="259" w:lineRule="auto"/>
        <w:contextualSpacing/>
        <w:jc w:val="both"/>
        <w:rPr>
          <w:rFonts w:asciiTheme="minorHAnsi" w:hAnsiTheme="minorHAnsi"/>
          <w:sz w:val="20"/>
        </w:rPr>
      </w:pPr>
      <w:r w:rsidRPr="0D4B5227">
        <w:rPr>
          <w:rFonts w:asciiTheme="minorHAnsi" w:hAnsiTheme="minorHAnsi"/>
          <w:sz w:val="20"/>
        </w:rPr>
        <w:t xml:space="preserve">Ensure that the College is compliant to its obligations under the </w:t>
      </w:r>
      <w:r w:rsidR="1AECBD89" w:rsidRPr="0D4B5227">
        <w:rPr>
          <w:rFonts w:asciiTheme="minorHAnsi" w:hAnsiTheme="minorHAnsi"/>
          <w:sz w:val="20"/>
        </w:rPr>
        <w:t>Public Contracts (Scotland) Regulations 2015</w:t>
      </w:r>
      <w:r w:rsidRPr="0D4B5227">
        <w:rPr>
          <w:rFonts w:asciiTheme="minorHAnsi" w:hAnsiTheme="minorHAnsi"/>
          <w:sz w:val="20"/>
        </w:rPr>
        <w:t>, the Procurement Reform (Scotland) Act 2014</w:t>
      </w:r>
      <w:r w:rsidR="009758C3" w:rsidRPr="0D4B5227">
        <w:rPr>
          <w:rFonts w:asciiTheme="minorHAnsi" w:hAnsiTheme="minorHAnsi"/>
          <w:sz w:val="20"/>
        </w:rPr>
        <w:t xml:space="preserve">, </w:t>
      </w:r>
      <w:r w:rsidRPr="0D4B5227">
        <w:rPr>
          <w:rFonts w:asciiTheme="minorHAnsi" w:hAnsiTheme="minorHAnsi"/>
          <w:sz w:val="20"/>
        </w:rPr>
        <w:t>Procurement (Scotland) Regulations 2016</w:t>
      </w:r>
      <w:r w:rsidR="009758C3" w:rsidRPr="0D4B5227">
        <w:rPr>
          <w:rFonts w:asciiTheme="minorHAnsi" w:hAnsiTheme="minorHAnsi"/>
          <w:sz w:val="20"/>
        </w:rPr>
        <w:t xml:space="preserve"> and all subsequent amendments</w:t>
      </w:r>
      <w:r w:rsidRPr="0D4B5227">
        <w:rPr>
          <w:rFonts w:asciiTheme="minorHAnsi" w:hAnsiTheme="minorHAnsi"/>
          <w:sz w:val="20"/>
        </w:rPr>
        <w:t xml:space="preserve">; and </w:t>
      </w:r>
    </w:p>
    <w:p w14:paraId="7DE1CFCC" w14:textId="77777777" w:rsidR="00AC6D10" w:rsidRPr="009D1033" w:rsidRDefault="009D1033" w:rsidP="00DC7130">
      <w:pPr>
        <w:pStyle w:val="ListParagraph"/>
        <w:numPr>
          <w:ilvl w:val="0"/>
          <w:numId w:val="22"/>
        </w:numPr>
        <w:spacing w:after="160" w:line="259" w:lineRule="auto"/>
        <w:contextualSpacing/>
        <w:jc w:val="both"/>
        <w:rPr>
          <w:rFonts w:asciiTheme="minorHAnsi" w:hAnsiTheme="minorHAnsi"/>
          <w:sz w:val="20"/>
        </w:rPr>
      </w:pPr>
      <w:r w:rsidRPr="009D1033">
        <w:rPr>
          <w:rFonts w:asciiTheme="minorHAnsi" w:hAnsiTheme="minorHAnsi"/>
          <w:sz w:val="20"/>
        </w:rPr>
        <w:t>To promote equality, diversity and sustainability through procurement matters.</w:t>
      </w:r>
    </w:p>
    <w:p w14:paraId="5AEDBEF1" w14:textId="77777777" w:rsidR="00DC7130" w:rsidRPr="00CB4828" w:rsidRDefault="00DC7130" w:rsidP="00161DAB">
      <w:pPr>
        <w:pStyle w:val="Default"/>
        <w:numPr>
          <w:ilvl w:val="0"/>
          <w:numId w:val="17"/>
        </w:numPr>
        <w:ind w:left="284" w:hanging="284"/>
        <w:rPr>
          <w:rFonts w:ascii="Calibri" w:hAnsi="Calibri"/>
          <w:b/>
          <w:sz w:val="23"/>
          <w:szCs w:val="23"/>
        </w:rPr>
      </w:pPr>
      <w:r w:rsidRPr="00CB4828">
        <w:rPr>
          <w:rFonts w:ascii="Calibri" w:hAnsi="Calibri"/>
          <w:b/>
          <w:sz w:val="23"/>
          <w:szCs w:val="23"/>
        </w:rPr>
        <w:t xml:space="preserve">Scope </w:t>
      </w:r>
    </w:p>
    <w:p w14:paraId="6DC30AE0" w14:textId="77777777" w:rsidR="00DC7130" w:rsidRPr="00CB4828" w:rsidRDefault="00DC7130" w:rsidP="00DC7130">
      <w:pPr>
        <w:pStyle w:val="Default"/>
        <w:rPr>
          <w:rFonts w:ascii="Calibri" w:hAnsi="Calibri"/>
          <w:sz w:val="23"/>
          <w:szCs w:val="23"/>
        </w:rPr>
      </w:pPr>
    </w:p>
    <w:p w14:paraId="6E851FB8" w14:textId="77777777" w:rsidR="00AC6D10" w:rsidRPr="009D1033" w:rsidRDefault="009D1033" w:rsidP="009D1033">
      <w:pPr>
        <w:spacing w:after="160" w:line="259" w:lineRule="auto"/>
        <w:jc w:val="both"/>
        <w:rPr>
          <w:rFonts w:asciiTheme="minorHAnsi" w:eastAsiaTheme="minorHAnsi" w:hAnsiTheme="minorHAnsi" w:cstheme="minorBidi"/>
          <w:sz w:val="20"/>
        </w:rPr>
      </w:pPr>
      <w:r w:rsidRPr="009D1033">
        <w:rPr>
          <w:rFonts w:asciiTheme="minorHAnsi" w:eastAsiaTheme="minorHAnsi" w:hAnsiTheme="minorHAnsi" w:cstheme="minorBidi"/>
          <w:sz w:val="20"/>
        </w:rPr>
        <w:t>This policy applies to all College staff and to the provision of goods, services and works where the procurement value is in excess of £5,000 (excluding VAT).</w:t>
      </w:r>
    </w:p>
    <w:p w14:paraId="041EC8DD" w14:textId="77777777" w:rsidR="009D1033" w:rsidRPr="001449D7" w:rsidRDefault="009D1033" w:rsidP="0030460F">
      <w:pPr>
        <w:pStyle w:val="Default"/>
        <w:numPr>
          <w:ilvl w:val="0"/>
          <w:numId w:val="17"/>
        </w:numPr>
        <w:ind w:left="284" w:hanging="284"/>
        <w:rPr>
          <w:rFonts w:ascii="Calibri" w:hAnsi="Calibri"/>
          <w:b/>
          <w:sz w:val="20"/>
          <w:szCs w:val="20"/>
        </w:rPr>
      </w:pPr>
      <w:r w:rsidRPr="001449D7">
        <w:rPr>
          <w:rFonts w:ascii="Calibri" w:hAnsi="Calibri"/>
          <w:b/>
          <w:sz w:val="20"/>
          <w:szCs w:val="20"/>
        </w:rPr>
        <w:t>Procurement Team</w:t>
      </w:r>
    </w:p>
    <w:p w14:paraId="2C0C72DE" w14:textId="77777777" w:rsidR="009D1033" w:rsidRDefault="009D1033" w:rsidP="009D1033">
      <w:pPr>
        <w:pStyle w:val="Default"/>
        <w:ind w:left="284"/>
        <w:rPr>
          <w:rFonts w:ascii="Calibri" w:hAnsi="Calibri"/>
          <w:b/>
          <w:sz w:val="23"/>
          <w:szCs w:val="23"/>
        </w:rPr>
      </w:pPr>
    </w:p>
    <w:p w14:paraId="749F8B68" w14:textId="77777777" w:rsidR="009D1033" w:rsidRDefault="009D1033" w:rsidP="009D1033">
      <w:pPr>
        <w:pStyle w:val="Default"/>
        <w:ind w:left="284"/>
        <w:rPr>
          <w:rFonts w:ascii="Calibri" w:hAnsi="Calibri"/>
          <w:b/>
          <w:sz w:val="23"/>
          <w:szCs w:val="23"/>
        </w:rPr>
      </w:pPr>
      <w:r w:rsidRPr="009D1033">
        <w:rPr>
          <w:rFonts w:asciiTheme="minorHAnsi" w:eastAsiaTheme="minorHAnsi" w:hAnsiTheme="minorHAnsi" w:cstheme="minorBidi"/>
          <w:noProof/>
          <w:color w:val="auto"/>
          <w:sz w:val="22"/>
          <w:szCs w:val="22"/>
        </w:rPr>
        <mc:AlternateContent>
          <mc:Choice Requires="wps">
            <w:drawing>
              <wp:anchor distT="0" distB="0" distL="114300" distR="114300" simplePos="0" relativeHeight="251659776" behindDoc="0" locked="0" layoutInCell="1" allowOverlap="1" wp14:anchorId="7B0D2404" wp14:editId="422B9BE6">
                <wp:simplePos x="0" y="0"/>
                <wp:positionH relativeFrom="column">
                  <wp:posOffset>1669009</wp:posOffset>
                </wp:positionH>
                <wp:positionV relativeFrom="paragraph">
                  <wp:posOffset>9550</wp:posOffset>
                </wp:positionV>
                <wp:extent cx="2085975" cy="5715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2085975" cy="571500"/>
                        </a:xfrm>
                        <a:prstGeom prst="roundRect">
                          <a:avLst/>
                        </a:prstGeom>
                        <a:solidFill>
                          <a:sysClr val="window" lastClr="FFFFFF">
                            <a:lumMod val="75000"/>
                          </a:sysClr>
                        </a:solidFill>
                        <a:ln w="12700" cap="flat" cmpd="sng" algn="ctr">
                          <a:solidFill>
                            <a:srgbClr val="5B9BD5">
                              <a:shade val="50000"/>
                            </a:srgbClr>
                          </a:solidFill>
                          <a:prstDash val="solid"/>
                          <a:miter lim="800000"/>
                        </a:ln>
                        <a:effectLst/>
                      </wps:spPr>
                      <wps:txbx>
                        <w:txbxContent>
                          <w:p w14:paraId="297811E1" w14:textId="71B77E94" w:rsidR="009D1033" w:rsidRPr="009D1033" w:rsidRDefault="009D1033" w:rsidP="009D1033">
                            <w:pPr>
                              <w:jc w:val="center"/>
                              <w:rPr>
                                <w:rFonts w:asciiTheme="minorHAnsi" w:hAnsiTheme="minorHAnsi"/>
                                <w:b/>
                                <w:sz w:val="20"/>
                              </w:rPr>
                            </w:pPr>
                            <w:r w:rsidRPr="009D1033">
                              <w:rPr>
                                <w:rFonts w:asciiTheme="minorHAnsi" w:hAnsiTheme="minorHAnsi"/>
                                <w:b/>
                                <w:sz w:val="20"/>
                              </w:rPr>
                              <w:t xml:space="preserve">Iain Clark – </w:t>
                            </w:r>
                            <w:r w:rsidR="009905E5">
                              <w:rPr>
                                <w:rFonts w:asciiTheme="minorHAnsi" w:hAnsiTheme="minorHAnsi"/>
                                <w:b/>
                                <w:sz w:val="20"/>
                              </w:rPr>
                              <w:t>Chief Financial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0D2404" id="Rounded Rectangle 3" o:spid="_x0000_s1027" style="position:absolute;left:0;text-align:left;margin-left:131.4pt;margin-top:.75pt;width:164.25pt;height:4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" fillcolor="#bfbfbf" strokecolor="#41719c" strokeweight="1pt">
                <v:stroke joinstyle="miter"/>
                <v:textbox>
                  <w:txbxContent>
                    <w:p w14:paraId="297811E1" w14:textId="71B77E94" w:rsidR="009D1033" w:rsidRPr="009D1033" w:rsidRDefault="009D1033" w:rsidP="009D1033">
                      <w:pPr>
                        <w:jc w:val="center"/>
                        <w:rPr>
                          <w:rFonts w:asciiTheme="minorHAnsi" w:hAnsiTheme="minorHAnsi"/>
                          <w:b/>
                          <w:sz w:val="20"/>
                        </w:rPr>
                      </w:pPr>
                      <w:r w:rsidRPr="009D1033">
                        <w:rPr>
                          <w:rFonts w:asciiTheme="minorHAnsi" w:hAnsiTheme="minorHAnsi"/>
                          <w:b/>
                          <w:sz w:val="20"/>
                        </w:rPr>
                        <w:t xml:space="preserve">Iain Clark – </w:t>
                      </w:r>
                      <w:r w:rsidR="009905E5">
                        <w:rPr>
                          <w:rFonts w:asciiTheme="minorHAnsi" w:hAnsiTheme="minorHAnsi"/>
                          <w:b/>
                          <w:sz w:val="20"/>
                        </w:rPr>
                        <w:t>Chief Financial Officer</w:t>
                      </w:r>
                    </w:p>
                  </w:txbxContent>
                </v:textbox>
              </v:roundrect>
            </w:pict>
          </mc:Fallback>
        </mc:AlternateContent>
      </w:r>
    </w:p>
    <w:p w14:paraId="27B4100A" w14:textId="77777777" w:rsidR="009D1033" w:rsidRDefault="009D1033" w:rsidP="009D1033">
      <w:pPr>
        <w:pStyle w:val="Default"/>
        <w:ind w:left="284"/>
        <w:rPr>
          <w:rFonts w:ascii="Calibri" w:hAnsi="Calibri"/>
          <w:b/>
          <w:sz w:val="23"/>
          <w:szCs w:val="23"/>
        </w:rPr>
      </w:pPr>
    </w:p>
    <w:p w14:paraId="41D821D4" w14:textId="77777777" w:rsidR="00DC7130" w:rsidRPr="00CB4828" w:rsidRDefault="00DC7130" w:rsidP="009D1033">
      <w:pPr>
        <w:pStyle w:val="Default"/>
        <w:ind w:left="284"/>
        <w:rPr>
          <w:rFonts w:ascii="Calibri" w:hAnsi="Calibri"/>
          <w:b/>
          <w:sz w:val="23"/>
          <w:szCs w:val="23"/>
        </w:rPr>
      </w:pPr>
      <w:r w:rsidRPr="00CB4828">
        <w:rPr>
          <w:rFonts w:ascii="Calibri" w:hAnsi="Calibri"/>
          <w:b/>
          <w:sz w:val="23"/>
          <w:szCs w:val="23"/>
        </w:rPr>
        <w:t xml:space="preserve"> </w:t>
      </w:r>
    </w:p>
    <w:p w14:paraId="1B96A5D3" w14:textId="77777777" w:rsidR="00DC7130" w:rsidRPr="00CB4828" w:rsidRDefault="001449D7" w:rsidP="005479C4">
      <w:pPr>
        <w:pStyle w:val="Default"/>
        <w:rPr>
          <w:rFonts w:ascii="Calibri" w:hAnsi="Calibri"/>
          <w:sz w:val="23"/>
          <w:szCs w:val="23"/>
        </w:rPr>
      </w:pPr>
      <w:r>
        <w:rPr>
          <w:rFonts w:ascii="Calibri" w:hAnsi="Calibri"/>
          <w:noProof/>
          <w:sz w:val="23"/>
          <w:szCs w:val="23"/>
        </w:rPr>
        <mc:AlternateContent>
          <mc:Choice Requires="wps">
            <w:drawing>
              <wp:anchor distT="0" distB="0" distL="114300" distR="114300" simplePos="0" relativeHeight="251666944" behindDoc="0" locked="0" layoutInCell="1" allowOverlap="1" wp14:anchorId="1E089681" wp14:editId="4A82A56F">
                <wp:simplePos x="0" y="0"/>
                <wp:positionH relativeFrom="column">
                  <wp:posOffset>2735885</wp:posOffset>
                </wp:positionH>
                <wp:positionV relativeFrom="paragraph">
                  <wp:posOffset>45517</wp:posOffset>
                </wp:positionV>
                <wp:extent cx="0" cy="233172"/>
                <wp:effectExtent l="0" t="0" r="19050" b="33655"/>
                <wp:wrapNone/>
                <wp:docPr id="8" name="Straight Connector 8"/>
                <wp:cNvGraphicFramePr/>
                <a:graphic xmlns:a="http://schemas.openxmlformats.org/drawingml/2006/main">
                  <a:graphicData uri="http://schemas.microsoft.com/office/word/2010/wordprocessingShape">
                    <wps:wsp>
                      <wps:cNvCnPr/>
                      <wps:spPr>
                        <a:xfrm>
                          <a:off x="0" y="0"/>
                          <a:ext cx="0" cy="2331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99190F" id="Straight Connector 8"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15.4pt,3.6pt" to="215.4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" strokecolor="black [3200]" strokeweight=".5pt">
                <v:stroke joinstyle="miter"/>
              </v:line>
            </w:pict>
          </mc:Fallback>
        </mc:AlternateContent>
      </w:r>
      <w:r w:rsidR="00DC7130" w:rsidRPr="00CB4828">
        <w:rPr>
          <w:rFonts w:ascii="Calibri" w:hAnsi="Calibri"/>
          <w:sz w:val="23"/>
          <w:szCs w:val="23"/>
        </w:rPr>
        <w:t xml:space="preserve"> </w:t>
      </w:r>
    </w:p>
    <w:p w14:paraId="7D644107" w14:textId="77777777" w:rsidR="0064219E" w:rsidRDefault="009D1033" w:rsidP="0030460F">
      <w:pPr>
        <w:pStyle w:val="Default"/>
        <w:ind w:firstLine="851"/>
        <w:rPr>
          <w:rFonts w:ascii="Calibri" w:hAnsi="Calibri"/>
          <w:sz w:val="23"/>
          <w:szCs w:val="23"/>
        </w:rPr>
      </w:pPr>
      <w:r>
        <w:rPr>
          <w:noProof/>
        </w:rPr>
        <mc:AlternateContent>
          <mc:Choice Requires="wps">
            <w:drawing>
              <wp:anchor distT="0" distB="0" distL="114300" distR="114300" simplePos="0" relativeHeight="251661824" behindDoc="0" locked="0" layoutInCell="1" allowOverlap="1" wp14:anchorId="1111739C" wp14:editId="658CEACE">
                <wp:simplePos x="0" y="0"/>
                <wp:positionH relativeFrom="column">
                  <wp:posOffset>1675181</wp:posOffset>
                </wp:positionH>
                <wp:positionV relativeFrom="paragraph">
                  <wp:posOffset>97332</wp:posOffset>
                </wp:positionV>
                <wp:extent cx="2085975" cy="5715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2085975" cy="571500"/>
                        </a:xfrm>
                        <a:prstGeom prst="roundRect">
                          <a:avLst/>
                        </a:prstGeom>
                        <a:solidFill>
                          <a:schemeClr val="bg1">
                            <a:lumMod val="85000"/>
                          </a:schemeClr>
                        </a:solidFill>
                        <a:ln w="12700" cap="flat" cmpd="sng" algn="ctr">
                          <a:solidFill>
                            <a:srgbClr val="5B9BD5">
                              <a:shade val="50000"/>
                            </a:srgbClr>
                          </a:solidFill>
                          <a:prstDash val="solid"/>
                          <a:miter lim="800000"/>
                        </a:ln>
                        <a:effectLst/>
                      </wps:spPr>
                      <wps:txbx>
                        <w:txbxContent>
                          <w:p w14:paraId="470449D6" w14:textId="77777777" w:rsidR="009D1033" w:rsidRPr="009D1033" w:rsidRDefault="005A77A0" w:rsidP="009D1033">
                            <w:pPr>
                              <w:jc w:val="center"/>
                              <w:rPr>
                                <w:rFonts w:asciiTheme="minorHAnsi" w:hAnsiTheme="minorHAnsi"/>
                                <w:sz w:val="20"/>
                              </w:rPr>
                            </w:pPr>
                            <w:r>
                              <w:rPr>
                                <w:rFonts w:asciiTheme="minorHAnsi" w:hAnsiTheme="minorHAnsi"/>
                                <w:sz w:val="20"/>
                              </w:rPr>
                              <w:t>Lynn MacKenzie – Financial Controller</w:t>
                            </w:r>
                            <w:r w:rsidR="009D1033" w:rsidRPr="009D1033">
                              <w:rPr>
                                <w:rFonts w:asciiTheme="minorHAnsi" w:hAnsiTheme="minorHAnsi"/>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11739C" id="Rounded Rectangle 4" o:spid="_x0000_s1028" style="position:absolute;left:0;text-align:left;margin-left:131.9pt;margin-top:7.65pt;width:164.25pt;height:4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" fillcolor="#d8d8d8 [2732]" strokecolor="#41719c" strokeweight="1pt">
                <v:stroke joinstyle="miter"/>
                <v:textbox>
                  <w:txbxContent>
                    <w:p w14:paraId="470449D6" w14:textId="77777777" w:rsidR="009D1033" w:rsidRPr="009D1033" w:rsidRDefault="005A77A0" w:rsidP="009D1033">
                      <w:pPr>
                        <w:jc w:val="center"/>
                        <w:rPr>
                          <w:rFonts w:asciiTheme="minorHAnsi" w:hAnsiTheme="minorHAnsi"/>
                          <w:sz w:val="20"/>
                        </w:rPr>
                      </w:pPr>
                      <w:r>
                        <w:rPr>
                          <w:rFonts w:asciiTheme="minorHAnsi" w:hAnsiTheme="minorHAnsi"/>
                          <w:sz w:val="20"/>
                        </w:rPr>
                        <w:t>Lynn MacKenzie – Financial Controller</w:t>
                      </w:r>
                      <w:r w:rsidR="009D1033" w:rsidRPr="009D1033">
                        <w:rPr>
                          <w:rFonts w:asciiTheme="minorHAnsi" w:hAnsiTheme="minorHAnsi"/>
                          <w:sz w:val="20"/>
                        </w:rPr>
                        <w:t xml:space="preserve"> </w:t>
                      </w:r>
                    </w:p>
                  </w:txbxContent>
                </v:textbox>
              </v:roundrect>
            </w:pict>
          </mc:Fallback>
        </mc:AlternateContent>
      </w:r>
    </w:p>
    <w:p w14:paraId="0A1F9E49" w14:textId="77777777" w:rsidR="00AC6D10" w:rsidRPr="00CB4828" w:rsidRDefault="00AC6D10" w:rsidP="0030460F">
      <w:pPr>
        <w:pStyle w:val="Default"/>
        <w:ind w:firstLine="851"/>
        <w:rPr>
          <w:rFonts w:ascii="Calibri" w:hAnsi="Calibri"/>
          <w:sz w:val="23"/>
          <w:szCs w:val="23"/>
        </w:rPr>
      </w:pPr>
    </w:p>
    <w:p w14:paraId="7A0809FE" w14:textId="77777777" w:rsidR="009D1033" w:rsidRDefault="009D1033" w:rsidP="009D1033">
      <w:pPr>
        <w:pStyle w:val="Default"/>
        <w:rPr>
          <w:rFonts w:ascii="Calibri" w:hAnsi="Calibri"/>
          <w:b/>
          <w:sz w:val="23"/>
          <w:szCs w:val="23"/>
        </w:rPr>
      </w:pPr>
    </w:p>
    <w:p w14:paraId="21744D50" w14:textId="77777777" w:rsidR="009D1033" w:rsidRDefault="001449D7" w:rsidP="009D1033">
      <w:pPr>
        <w:pStyle w:val="Default"/>
        <w:rPr>
          <w:rFonts w:ascii="Calibri" w:hAnsi="Calibri"/>
          <w:b/>
          <w:sz w:val="23"/>
          <w:szCs w:val="23"/>
        </w:rPr>
      </w:pPr>
      <w:r>
        <w:rPr>
          <w:rFonts w:ascii="Calibri" w:hAnsi="Calibri"/>
          <w:b/>
          <w:noProof/>
          <w:sz w:val="23"/>
          <w:szCs w:val="23"/>
        </w:rPr>
        <mc:AlternateContent>
          <mc:Choice Requires="wps">
            <w:drawing>
              <wp:anchor distT="0" distB="0" distL="114300" distR="114300" simplePos="0" relativeHeight="251667968" behindDoc="0" locked="0" layoutInCell="1" allowOverlap="1" wp14:anchorId="6A18D772" wp14:editId="560E1EDB">
                <wp:simplePos x="0" y="0"/>
                <wp:positionH relativeFrom="column">
                  <wp:posOffset>2735885</wp:posOffset>
                </wp:positionH>
                <wp:positionV relativeFrom="paragraph">
                  <wp:posOffset>137084</wp:posOffset>
                </wp:positionV>
                <wp:extent cx="0" cy="291693"/>
                <wp:effectExtent l="0" t="0" r="19050" b="32385"/>
                <wp:wrapNone/>
                <wp:docPr id="9" name="Straight Connector 9"/>
                <wp:cNvGraphicFramePr/>
                <a:graphic xmlns:a="http://schemas.openxmlformats.org/drawingml/2006/main">
                  <a:graphicData uri="http://schemas.microsoft.com/office/word/2010/wordprocessingShape">
                    <wps:wsp>
                      <wps:cNvCnPr/>
                      <wps:spPr>
                        <a:xfrm>
                          <a:off x="0" y="0"/>
                          <a:ext cx="0" cy="2916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A94D25" id="Straight Connector 9"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15.4pt,10.8pt" to="215.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" strokecolor="black [3200]" strokeweight=".5pt">
                <v:stroke joinstyle="miter"/>
              </v:line>
            </w:pict>
          </mc:Fallback>
        </mc:AlternateContent>
      </w:r>
    </w:p>
    <w:p w14:paraId="05C6A93E" w14:textId="77777777" w:rsidR="009D1033" w:rsidRDefault="009D1033" w:rsidP="009D1033">
      <w:pPr>
        <w:pStyle w:val="Default"/>
        <w:rPr>
          <w:rFonts w:ascii="Calibri" w:hAnsi="Calibri"/>
          <w:b/>
          <w:sz w:val="23"/>
          <w:szCs w:val="23"/>
        </w:rPr>
      </w:pPr>
    </w:p>
    <w:p w14:paraId="31576553" w14:textId="77777777" w:rsidR="009D1033" w:rsidRDefault="001449D7" w:rsidP="009D1033">
      <w:pPr>
        <w:pStyle w:val="Default"/>
        <w:rPr>
          <w:rFonts w:ascii="Calibri" w:hAnsi="Calibri"/>
          <w:b/>
          <w:sz w:val="23"/>
          <w:szCs w:val="23"/>
        </w:rPr>
      </w:pPr>
      <w:r w:rsidRPr="009D1033">
        <w:rPr>
          <w:rFonts w:asciiTheme="minorHAnsi" w:eastAsiaTheme="minorHAnsi" w:hAnsiTheme="minorHAnsi" w:cstheme="minorBidi"/>
          <w:noProof/>
          <w:color w:val="auto"/>
          <w:sz w:val="22"/>
          <w:szCs w:val="22"/>
        </w:rPr>
        <mc:AlternateContent>
          <mc:Choice Requires="wps">
            <w:drawing>
              <wp:anchor distT="0" distB="0" distL="114300" distR="114300" simplePos="0" relativeHeight="251663872" behindDoc="0" locked="0" layoutInCell="1" allowOverlap="1" wp14:anchorId="76C2ADB8" wp14:editId="258F56D8">
                <wp:simplePos x="0" y="0"/>
                <wp:positionH relativeFrom="column">
                  <wp:posOffset>1675130</wp:posOffset>
                </wp:positionH>
                <wp:positionV relativeFrom="paragraph">
                  <wp:posOffset>70129</wp:posOffset>
                </wp:positionV>
                <wp:extent cx="2085975" cy="5715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2085975" cy="571500"/>
                        </a:xfrm>
                        <a:prstGeom prst="roundRect">
                          <a:avLst/>
                        </a:prstGeom>
                        <a:solidFill>
                          <a:sysClr val="window" lastClr="FFFFFF">
                            <a:lumMod val="85000"/>
                          </a:sysClr>
                        </a:solidFill>
                        <a:ln w="12700" cap="flat" cmpd="sng" algn="ctr">
                          <a:solidFill>
                            <a:srgbClr val="5B9BD5">
                              <a:shade val="50000"/>
                            </a:srgbClr>
                          </a:solidFill>
                          <a:prstDash val="solid"/>
                          <a:miter lim="800000"/>
                        </a:ln>
                        <a:effectLst/>
                      </wps:spPr>
                      <wps:txbx>
                        <w:txbxContent>
                          <w:p w14:paraId="0687ED9A" w14:textId="02E1D4F1" w:rsidR="009D1033" w:rsidRPr="009D1033" w:rsidRDefault="0047086B" w:rsidP="009D1033">
                            <w:pPr>
                              <w:jc w:val="center"/>
                              <w:rPr>
                                <w:rFonts w:asciiTheme="minorHAnsi" w:hAnsiTheme="minorHAnsi"/>
                                <w:sz w:val="20"/>
                              </w:rPr>
                            </w:pPr>
                            <w:r>
                              <w:rPr>
                                <w:rFonts w:asciiTheme="minorHAnsi" w:hAnsiTheme="minorHAnsi"/>
                                <w:sz w:val="20"/>
                              </w:rPr>
                              <w:t>Andrew Mulvay</w:t>
                            </w:r>
                            <w:r w:rsidR="005A77A0">
                              <w:rPr>
                                <w:rFonts w:asciiTheme="minorHAnsi" w:hAnsiTheme="minorHAnsi"/>
                                <w:sz w:val="20"/>
                              </w:rPr>
                              <w:t xml:space="preserve"> – Supply Chain </w:t>
                            </w:r>
                            <w:r w:rsidR="009D1033" w:rsidRPr="009D1033">
                              <w:rPr>
                                <w:rFonts w:asciiTheme="minorHAnsi" w:hAnsiTheme="minorHAnsi"/>
                                <w:sz w:val="20"/>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C2ADB8" id="Rounded Rectangle 5" o:spid="_x0000_s1029" style="position:absolute;margin-left:131.9pt;margin-top:5.5pt;width:164.25pt;height:4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" fillcolor="#d9d9d9" strokecolor="#41719c" strokeweight="1pt">
                <v:stroke joinstyle="miter"/>
                <v:textbox>
                  <w:txbxContent>
                    <w:p w14:paraId="0687ED9A" w14:textId="02E1D4F1" w:rsidR="009D1033" w:rsidRPr="009D1033" w:rsidRDefault="0047086B" w:rsidP="009D1033">
                      <w:pPr>
                        <w:jc w:val="center"/>
                        <w:rPr>
                          <w:rFonts w:asciiTheme="minorHAnsi" w:hAnsiTheme="minorHAnsi"/>
                          <w:sz w:val="20"/>
                        </w:rPr>
                      </w:pPr>
                      <w:r>
                        <w:rPr>
                          <w:rFonts w:asciiTheme="minorHAnsi" w:hAnsiTheme="minorHAnsi"/>
                          <w:sz w:val="20"/>
                        </w:rPr>
                        <w:t>Andrew Mulvay</w:t>
                      </w:r>
                      <w:r w:rsidR="005A77A0">
                        <w:rPr>
                          <w:rFonts w:asciiTheme="minorHAnsi" w:hAnsiTheme="minorHAnsi"/>
                          <w:sz w:val="20"/>
                        </w:rPr>
                        <w:t xml:space="preserve"> – Supply Chain </w:t>
                      </w:r>
                      <w:r w:rsidR="009D1033" w:rsidRPr="009D1033">
                        <w:rPr>
                          <w:rFonts w:asciiTheme="minorHAnsi" w:hAnsiTheme="minorHAnsi"/>
                          <w:sz w:val="20"/>
                        </w:rPr>
                        <w:t>Manager</w:t>
                      </w:r>
                    </w:p>
                  </w:txbxContent>
                </v:textbox>
              </v:roundrect>
            </w:pict>
          </mc:Fallback>
        </mc:AlternateContent>
      </w:r>
      <w:r w:rsidR="009D1033" w:rsidRPr="009D1033">
        <w:rPr>
          <w:rFonts w:asciiTheme="minorHAnsi" w:eastAsiaTheme="minorHAnsi" w:hAnsiTheme="minorHAnsi" w:cstheme="minorBidi"/>
          <w:noProof/>
          <w:color w:val="auto"/>
          <w:sz w:val="22"/>
          <w:szCs w:val="22"/>
        </w:rPr>
        <mc:AlternateContent>
          <mc:Choice Requires="wps">
            <w:drawing>
              <wp:anchor distT="0" distB="0" distL="114300" distR="114300" simplePos="0" relativeHeight="251665920" behindDoc="0" locked="0" layoutInCell="1" allowOverlap="1" wp14:anchorId="07035EA2" wp14:editId="27522F3D">
                <wp:simplePos x="0" y="0"/>
                <wp:positionH relativeFrom="column">
                  <wp:posOffset>4096385</wp:posOffset>
                </wp:positionH>
                <wp:positionV relativeFrom="paragraph">
                  <wp:posOffset>67310</wp:posOffset>
                </wp:positionV>
                <wp:extent cx="2085975" cy="5715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2085975" cy="571500"/>
                        </a:xfrm>
                        <a:prstGeom prst="roundRect">
                          <a:avLst/>
                        </a:prstGeom>
                        <a:solidFill>
                          <a:sysClr val="window" lastClr="FFFFFF">
                            <a:lumMod val="85000"/>
                          </a:sysClr>
                        </a:solidFill>
                        <a:ln w="12700" cap="flat" cmpd="sng" algn="ctr">
                          <a:solidFill>
                            <a:srgbClr val="5B9BD5">
                              <a:shade val="50000"/>
                            </a:srgbClr>
                          </a:solidFill>
                          <a:prstDash val="solid"/>
                          <a:miter lim="800000"/>
                        </a:ln>
                        <a:effectLst/>
                      </wps:spPr>
                      <wps:txbx>
                        <w:txbxContent>
                          <w:p w14:paraId="12EE3134" w14:textId="77777777" w:rsidR="009D1033" w:rsidRPr="009D1033" w:rsidRDefault="009D1033" w:rsidP="009D1033">
                            <w:pPr>
                              <w:jc w:val="center"/>
                              <w:rPr>
                                <w:rFonts w:asciiTheme="minorHAnsi" w:hAnsiTheme="minorHAnsi"/>
                                <w:sz w:val="20"/>
                              </w:rPr>
                            </w:pPr>
                            <w:r w:rsidRPr="009D1033">
                              <w:rPr>
                                <w:rFonts w:asciiTheme="minorHAnsi" w:hAnsiTheme="minorHAnsi"/>
                                <w:sz w:val="20"/>
                              </w:rPr>
                              <w:t>APUC Ltd (Support &amp; Compliance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035EA2" id="Rounded Rectangle 7" o:spid="_x0000_s1030" style="position:absolute;margin-left:322.55pt;margin-top:5.3pt;width:164.25pt;height:4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" fillcolor="#d9d9d9" strokecolor="#41719c" strokeweight="1pt">
                <v:stroke joinstyle="miter"/>
                <v:textbox>
                  <w:txbxContent>
                    <w:p w14:paraId="12EE3134" w14:textId="77777777" w:rsidR="009D1033" w:rsidRPr="009D1033" w:rsidRDefault="009D1033" w:rsidP="009D1033">
                      <w:pPr>
                        <w:jc w:val="center"/>
                        <w:rPr>
                          <w:rFonts w:asciiTheme="minorHAnsi" w:hAnsiTheme="minorHAnsi"/>
                          <w:sz w:val="20"/>
                        </w:rPr>
                      </w:pPr>
                      <w:r w:rsidRPr="009D1033">
                        <w:rPr>
                          <w:rFonts w:asciiTheme="minorHAnsi" w:hAnsiTheme="minorHAnsi"/>
                          <w:sz w:val="20"/>
                        </w:rPr>
                        <w:t>APUC Ltd (Support &amp; Compliance Guidance)</w:t>
                      </w:r>
                    </w:p>
                  </w:txbxContent>
                </v:textbox>
              </v:roundrect>
            </w:pict>
          </mc:Fallback>
        </mc:AlternateContent>
      </w:r>
    </w:p>
    <w:p w14:paraId="00D6E4AB" w14:textId="77777777" w:rsidR="009D1033" w:rsidRDefault="001449D7" w:rsidP="009D1033">
      <w:pPr>
        <w:pStyle w:val="Default"/>
        <w:rPr>
          <w:rFonts w:ascii="Calibri" w:hAnsi="Calibri"/>
          <w:b/>
          <w:sz w:val="23"/>
          <w:szCs w:val="23"/>
        </w:rPr>
      </w:pPr>
      <w:r>
        <w:rPr>
          <w:rFonts w:ascii="Calibri" w:hAnsi="Calibri"/>
          <w:b/>
          <w:noProof/>
          <w:sz w:val="23"/>
          <w:szCs w:val="23"/>
        </w:rPr>
        <mc:AlternateContent>
          <mc:Choice Requires="wps">
            <w:drawing>
              <wp:anchor distT="0" distB="0" distL="114300" distR="114300" simplePos="0" relativeHeight="251668992" behindDoc="0" locked="0" layoutInCell="1" allowOverlap="1" wp14:anchorId="16EB0E74" wp14:editId="52964311">
                <wp:simplePos x="0" y="0"/>
                <wp:positionH relativeFrom="column">
                  <wp:posOffset>3761156</wp:posOffset>
                </wp:positionH>
                <wp:positionV relativeFrom="paragraph">
                  <wp:posOffset>172085</wp:posOffset>
                </wp:positionV>
                <wp:extent cx="335356"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3353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2CA2DB" id="Straight Connector 10"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296.15pt,13.55pt" to="322.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" strokecolor="black [3200]" strokeweight=".5pt">
                <v:stroke joinstyle="miter"/>
              </v:line>
            </w:pict>
          </mc:Fallback>
        </mc:AlternateContent>
      </w:r>
    </w:p>
    <w:p w14:paraId="4F0F1A7C" w14:textId="77777777" w:rsidR="009D1033" w:rsidRDefault="009D1033" w:rsidP="009D1033">
      <w:pPr>
        <w:pStyle w:val="Default"/>
        <w:rPr>
          <w:rFonts w:ascii="Calibri" w:hAnsi="Calibri"/>
          <w:b/>
          <w:sz w:val="23"/>
          <w:szCs w:val="23"/>
        </w:rPr>
      </w:pPr>
    </w:p>
    <w:p w14:paraId="1177E0E4" w14:textId="77777777" w:rsidR="009D1033" w:rsidRDefault="009D1033" w:rsidP="009D1033">
      <w:pPr>
        <w:pStyle w:val="Default"/>
        <w:rPr>
          <w:rFonts w:ascii="Calibri" w:hAnsi="Calibri"/>
          <w:b/>
          <w:sz w:val="23"/>
          <w:szCs w:val="23"/>
        </w:rPr>
      </w:pPr>
    </w:p>
    <w:p w14:paraId="3EFB419A" w14:textId="77777777" w:rsidR="009D1033" w:rsidRDefault="009D1033" w:rsidP="009D1033">
      <w:pPr>
        <w:pStyle w:val="Default"/>
        <w:ind w:left="284"/>
        <w:rPr>
          <w:rFonts w:ascii="Calibri" w:hAnsi="Calibri"/>
          <w:b/>
          <w:sz w:val="23"/>
          <w:szCs w:val="23"/>
        </w:rPr>
      </w:pPr>
    </w:p>
    <w:p w14:paraId="48108251" w14:textId="77777777" w:rsidR="005479C4" w:rsidRPr="001449D7" w:rsidRDefault="005479C4" w:rsidP="005479C4">
      <w:pPr>
        <w:pStyle w:val="Default"/>
        <w:numPr>
          <w:ilvl w:val="0"/>
          <w:numId w:val="17"/>
        </w:numPr>
        <w:ind w:left="284" w:hanging="284"/>
        <w:rPr>
          <w:rFonts w:ascii="Calibri" w:hAnsi="Calibri"/>
          <w:b/>
          <w:sz w:val="20"/>
          <w:szCs w:val="20"/>
        </w:rPr>
      </w:pPr>
      <w:r w:rsidRPr="001449D7">
        <w:rPr>
          <w:rFonts w:ascii="Calibri" w:hAnsi="Calibri"/>
          <w:b/>
          <w:sz w:val="20"/>
          <w:szCs w:val="20"/>
        </w:rPr>
        <w:t xml:space="preserve">Inclusions </w:t>
      </w:r>
    </w:p>
    <w:p w14:paraId="3C64414E" w14:textId="77777777" w:rsidR="009D1033" w:rsidRDefault="009D1033" w:rsidP="009D1033">
      <w:pPr>
        <w:pStyle w:val="Default"/>
        <w:rPr>
          <w:rFonts w:ascii="Calibri" w:hAnsi="Calibri"/>
          <w:b/>
          <w:sz w:val="23"/>
          <w:szCs w:val="23"/>
        </w:rPr>
      </w:pPr>
    </w:p>
    <w:p w14:paraId="6D2A2C0B" w14:textId="168549A5" w:rsidR="009D1033" w:rsidRDefault="009D1033" w:rsidP="009D1033">
      <w:pPr>
        <w:pStyle w:val="ListParagraph"/>
        <w:numPr>
          <w:ilvl w:val="1"/>
          <w:numId w:val="24"/>
        </w:numPr>
        <w:spacing w:after="160" w:line="259" w:lineRule="auto"/>
        <w:contextualSpacing/>
        <w:jc w:val="both"/>
        <w:rPr>
          <w:rFonts w:asciiTheme="minorHAnsi" w:eastAsiaTheme="minorHAnsi" w:hAnsiTheme="minorHAnsi" w:cstheme="minorBidi"/>
          <w:sz w:val="20"/>
        </w:rPr>
      </w:pPr>
      <w:r w:rsidRPr="009D1033">
        <w:rPr>
          <w:rFonts w:asciiTheme="minorHAnsi" w:eastAsiaTheme="minorHAnsi" w:hAnsiTheme="minorHAnsi" w:cstheme="minorBidi"/>
          <w:sz w:val="20"/>
        </w:rPr>
        <w:t>A formal Request for Quotation must be issued for all goods</w:t>
      </w:r>
      <w:r w:rsidR="009758C3">
        <w:rPr>
          <w:rFonts w:asciiTheme="minorHAnsi" w:eastAsiaTheme="minorHAnsi" w:hAnsiTheme="minorHAnsi" w:cstheme="minorBidi"/>
          <w:sz w:val="20"/>
        </w:rPr>
        <w:t xml:space="preserve"> and</w:t>
      </w:r>
      <w:r w:rsidRPr="009D1033">
        <w:rPr>
          <w:rFonts w:asciiTheme="minorHAnsi" w:eastAsiaTheme="minorHAnsi" w:hAnsiTheme="minorHAnsi" w:cstheme="minorBidi"/>
          <w:sz w:val="20"/>
        </w:rPr>
        <w:t xml:space="preserve"> services which is equal to or greater than £5</w:t>
      </w:r>
      <w:r w:rsidR="001449D7">
        <w:rPr>
          <w:rFonts w:asciiTheme="minorHAnsi" w:eastAsiaTheme="minorHAnsi" w:hAnsiTheme="minorHAnsi" w:cstheme="minorBidi"/>
          <w:sz w:val="20"/>
        </w:rPr>
        <w:t xml:space="preserve">,000 </w:t>
      </w:r>
      <w:r w:rsidRPr="009D1033">
        <w:rPr>
          <w:rFonts w:asciiTheme="minorHAnsi" w:eastAsiaTheme="minorHAnsi" w:hAnsiTheme="minorHAnsi" w:cstheme="minorBidi"/>
          <w:sz w:val="20"/>
        </w:rPr>
        <w:t>(excluding VAT</w:t>
      </w:r>
      <w:r w:rsidR="001449D7">
        <w:rPr>
          <w:rFonts w:asciiTheme="minorHAnsi" w:eastAsiaTheme="minorHAnsi" w:hAnsiTheme="minorHAnsi" w:cstheme="minorBidi"/>
          <w:sz w:val="20"/>
        </w:rPr>
        <w:t>) and does not exceed £49,999</w:t>
      </w:r>
      <w:r w:rsidRPr="009D1033">
        <w:rPr>
          <w:rFonts w:asciiTheme="minorHAnsi" w:eastAsiaTheme="minorHAnsi" w:hAnsiTheme="minorHAnsi" w:cstheme="minorBidi"/>
          <w:sz w:val="20"/>
        </w:rPr>
        <w:t xml:space="preserve"> (excluding VAT) in aggregate value of the contract term or a </w:t>
      </w:r>
      <w:r w:rsidR="0047086B" w:rsidRPr="009D1033">
        <w:rPr>
          <w:rFonts w:asciiTheme="minorHAnsi" w:eastAsiaTheme="minorHAnsi" w:hAnsiTheme="minorHAnsi" w:cstheme="minorBidi"/>
          <w:sz w:val="20"/>
        </w:rPr>
        <w:t>one-off</w:t>
      </w:r>
      <w:r w:rsidRPr="009D1033">
        <w:rPr>
          <w:rFonts w:asciiTheme="minorHAnsi" w:eastAsiaTheme="minorHAnsi" w:hAnsiTheme="minorHAnsi" w:cstheme="minorBidi"/>
          <w:sz w:val="20"/>
        </w:rPr>
        <w:t xml:space="preserve"> purchase. </w:t>
      </w:r>
    </w:p>
    <w:p w14:paraId="2FAC0617" w14:textId="142690C2" w:rsidR="009758C3" w:rsidRPr="009D1033" w:rsidRDefault="009758C3" w:rsidP="0D4B5227">
      <w:pPr>
        <w:pStyle w:val="ListParagraph"/>
        <w:numPr>
          <w:ilvl w:val="1"/>
          <w:numId w:val="24"/>
        </w:numPr>
        <w:spacing w:after="160" w:line="259" w:lineRule="auto"/>
        <w:contextualSpacing/>
        <w:jc w:val="both"/>
        <w:rPr>
          <w:rFonts w:asciiTheme="minorHAnsi" w:eastAsiaTheme="minorEastAsia" w:hAnsiTheme="minorHAnsi" w:cstheme="minorBidi"/>
          <w:sz w:val="20"/>
        </w:rPr>
      </w:pPr>
      <w:r w:rsidRPr="0D4B5227">
        <w:rPr>
          <w:rFonts w:asciiTheme="minorHAnsi" w:eastAsiaTheme="minorEastAsia" w:hAnsiTheme="minorHAnsi" w:cstheme="minorBidi"/>
          <w:sz w:val="20"/>
        </w:rPr>
        <w:t xml:space="preserve">A formal Request for Quotation must be issued for all works which is equal to or greater than £5,000 (excluding VAT) and does not exceed £1,999,999 (excluding VAT) in aggregate value of the contract term or </w:t>
      </w:r>
      <w:r w:rsidR="0047086B" w:rsidRPr="0D4B5227">
        <w:rPr>
          <w:rFonts w:asciiTheme="minorHAnsi" w:eastAsiaTheme="minorEastAsia" w:hAnsiTheme="minorHAnsi" w:cstheme="minorBidi"/>
          <w:sz w:val="20"/>
        </w:rPr>
        <w:t>one-off</w:t>
      </w:r>
      <w:r w:rsidRPr="0D4B5227">
        <w:rPr>
          <w:rFonts w:asciiTheme="minorHAnsi" w:eastAsiaTheme="minorEastAsia" w:hAnsiTheme="minorHAnsi" w:cstheme="minorBidi"/>
          <w:sz w:val="20"/>
        </w:rPr>
        <w:t xml:space="preserve"> purchase.</w:t>
      </w:r>
    </w:p>
    <w:p w14:paraId="05E8929E" w14:textId="613C1AE4" w:rsidR="009D1033" w:rsidRPr="009D1033" w:rsidRDefault="009D1033" w:rsidP="0D4B5227">
      <w:pPr>
        <w:pStyle w:val="ListParagraph"/>
        <w:numPr>
          <w:ilvl w:val="1"/>
          <w:numId w:val="24"/>
        </w:numPr>
        <w:spacing w:after="160" w:line="259" w:lineRule="auto"/>
        <w:contextualSpacing/>
        <w:jc w:val="both"/>
        <w:rPr>
          <w:rFonts w:asciiTheme="minorHAnsi" w:eastAsiaTheme="minorEastAsia" w:hAnsiTheme="minorHAnsi" w:cstheme="minorBidi"/>
          <w:sz w:val="20"/>
        </w:rPr>
      </w:pPr>
      <w:r w:rsidRPr="0D4B5227">
        <w:rPr>
          <w:rFonts w:asciiTheme="minorHAnsi" w:eastAsiaTheme="minorEastAsia" w:hAnsiTheme="minorHAnsi" w:cstheme="minorBidi"/>
          <w:sz w:val="20"/>
        </w:rPr>
        <w:lastRenderedPageBreak/>
        <w:t>A formal Tendering process must be followed for procurements which are</w:t>
      </w:r>
      <w:r w:rsidR="001449D7" w:rsidRPr="0D4B5227">
        <w:rPr>
          <w:rFonts w:asciiTheme="minorHAnsi" w:eastAsiaTheme="minorEastAsia" w:hAnsiTheme="minorHAnsi" w:cstheme="minorBidi"/>
          <w:sz w:val="20"/>
        </w:rPr>
        <w:t xml:space="preserve"> greater than £50,000 </w:t>
      </w:r>
      <w:r w:rsidRPr="0D4B5227">
        <w:rPr>
          <w:rFonts w:asciiTheme="minorHAnsi" w:eastAsiaTheme="minorEastAsia" w:hAnsiTheme="minorHAnsi" w:cstheme="minorBidi"/>
          <w:sz w:val="20"/>
        </w:rPr>
        <w:t xml:space="preserve">(excluding VAT) in aggregate value of the contract term or a </w:t>
      </w:r>
      <w:r w:rsidR="0047086B" w:rsidRPr="0D4B5227">
        <w:rPr>
          <w:rFonts w:asciiTheme="minorHAnsi" w:eastAsiaTheme="minorEastAsia" w:hAnsiTheme="minorHAnsi" w:cstheme="minorBidi"/>
          <w:sz w:val="20"/>
        </w:rPr>
        <w:t>one-off</w:t>
      </w:r>
      <w:r w:rsidRPr="0D4B5227">
        <w:rPr>
          <w:rFonts w:asciiTheme="minorHAnsi" w:eastAsiaTheme="minorEastAsia" w:hAnsiTheme="minorHAnsi" w:cstheme="minorBidi"/>
          <w:sz w:val="20"/>
        </w:rPr>
        <w:t xml:space="preserve"> purchase</w:t>
      </w:r>
      <w:r w:rsidR="009758C3" w:rsidRPr="0D4B5227">
        <w:rPr>
          <w:rFonts w:asciiTheme="minorHAnsi" w:eastAsiaTheme="minorEastAsia" w:hAnsiTheme="minorHAnsi" w:cstheme="minorBidi"/>
          <w:sz w:val="20"/>
        </w:rPr>
        <w:t xml:space="preserve"> for</w:t>
      </w:r>
      <w:r w:rsidR="001449D7" w:rsidRPr="0D4B5227">
        <w:rPr>
          <w:rFonts w:asciiTheme="minorHAnsi" w:eastAsiaTheme="minorEastAsia" w:hAnsiTheme="minorHAnsi" w:cstheme="minorBidi"/>
          <w:sz w:val="20"/>
        </w:rPr>
        <w:t xml:space="preserve"> goods and </w:t>
      </w:r>
      <w:r w:rsidR="009758C3" w:rsidRPr="0D4B5227">
        <w:rPr>
          <w:rFonts w:asciiTheme="minorHAnsi" w:eastAsiaTheme="minorEastAsia" w:hAnsiTheme="minorHAnsi" w:cstheme="minorBidi"/>
          <w:sz w:val="20"/>
        </w:rPr>
        <w:t xml:space="preserve">services and </w:t>
      </w:r>
      <w:r w:rsidR="001449D7" w:rsidRPr="0D4B5227">
        <w:rPr>
          <w:rFonts w:asciiTheme="minorHAnsi" w:eastAsiaTheme="minorEastAsia" w:hAnsiTheme="minorHAnsi" w:cstheme="minorBidi"/>
          <w:sz w:val="20"/>
        </w:rPr>
        <w:t>£2,000,000 for</w:t>
      </w:r>
      <w:r w:rsidRPr="0D4B5227">
        <w:rPr>
          <w:rFonts w:asciiTheme="minorHAnsi" w:eastAsiaTheme="minorEastAsia" w:hAnsiTheme="minorHAnsi" w:cstheme="minorBidi"/>
          <w:sz w:val="20"/>
        </w:rPr>
        <w:t xml:space="preserve"> works.</w:t>
      </w:r>
    </w:p>
    <w:p w14:paraId="06BE7E51" w14:textId="77777777" w:rsidR="005479C4" w:rsidRPr="001449D7" w:rsidRDefault="005479C4" w:rsidP="009D1033">
      <w:pPr>
        <w:pStyle w:val="Default"/>
        <w:numPr>
          <w:ilvl w:val="0"/>
          <w:numId w:val="24"/>
        </w:numPr>
        <w:ind w:left="284" w:hanging="284"/>
        <w:rPr>
          <w:rFonts w:ascii="Calibri" w:hAnsi="Calibri"/>
          <w:b/>
          <w:sz w:val="20"/>
          <w:szCs w:val="20"/>
        </w:rPr>
      </w:pPr>
      <w:r w:rsidRPr="001449D7">
        <w:rPr>
          <w:rFonts w:ascii="Calibri" w:hAnsi="Calibri"/>
          <w:b/>
          <w:sz w:val="20"/>
          <w:szCs w:val="20"/>
        </w:rPr>
        <w:t xml:space="preserve">Exclusions </w:t>
      </w:r>
    </w:p>
    <w:p w14:paraId="550092C9" w14:textId="77777777" w:rsidR="005479C4" w:rsidRPr="001449D7" w:rsidRDefault="005479C4" w:rsidP="005479C4">
      <w:pPr>
        <w:pStyle w:val="Default"/>
        <w:ind w:left="284"/>
        <w:rPr>
          <w:rFonts w:ascii="Calibri" w:hAnsi="Calibri"/>
          <w:b/>
          <w:sz w:val="20"/>
          <w:szCs w:val="20"/>
        </w:rPr>
      </w:pPr>
    </w:p>
    <w:p w14:paraId="120C0D0D" w14:textId="77777777" w:rsidR="001449D7" w:rsidRPr="001449D7" w:rsidRDefault="001449D7" w:rsidP="001449D7">
      <w:pPr>
        <w:pStyle w:val="ListParagraph"/>
        <w:numPr>
          <w:ilvl w:val="1"/>
          <w:numId w:val="24"/>
        </w:numPr>
        <w:spacing w:after="160" w:line="259" w:lineRule="auto"/>
        <w:ind w:left="993" w:hanging="709"/>
        <w:contextualSpacing/>
        <w:jc w:val="both"/>
        <w:rPr>
          <w:rFonts w:asciiTheme="minorHAnsi" w:eastAsiaTheme="minorHAnsi" w:hAnsiTheme="minorHAnsi" w:cstheme="minorBidi"/>
          <w:sz w:val="20"/>
        </w:rPr>
      </w:pPr>
      <w:r w:rsidRPr="001449D7">
        <w:rPr>
          <w:rFonts w:asciiTheme="minorHAnsi" w:eastAsiaTheme="minorHAnsi" w:hAnsiTheme="minorHAnsi" w:cstheme="minorBidi"/>
          <w:sz w:val="20"/>
        </w:rPr>
        <w:t>The formal request for quotation or tendering process as detailed in section 4 of this document, is not necessary in the following circumstances:</w:t>
      </w:r>
    </w:p>
    <w:p w14:paraId="735D7201" w14:textId="77777777" w:rsidR="001449D7" w:rsidRPr="001449D7" w:rsidRDefault="001449D7" w:rsidP="003D2C9C">
      <w:pPr>
        <w:numPr>
          <w:ilvl w:val="2"/>
          <w:numId w:val="24"/>
        </w:numPr>
        <w:spacing w:after="160" w:line="259" w:lineRule="auto"/>
        <w:ind w:left="1560" w:hanging="567"/>
        <w:contextualSpacing/>
        <w:jc w:val="both"/>
        <w:rPr>
          <w:rFonts w:asciiTheme="minorHAnsi" w:eastAsiaTheme="minorHAnsi" w:hAnsiTheme="minorHAnsi" w:cstheme="minorBidi"/>
          <w:sz w:val="20"/>
        </w:rPr>
      </w:pPr>
      <w:r w:rsidRPr="001449D7">
        <w:rPr>
          <w:rFonts w:asciiTheme="minorHAnsi" w:eastAsiaTheme="minorHAnsi" w:hAnsiTheme="minorHAnsi" w:cstheme="minorBidi"/>
          <w:sz w:val="20"/>
        </w:rPr>
        <w:t xml:space="preserve">The goods, service or works can be directly procured from an existing contract entered into </w:t>
      </w:r>
      <w:r w:rsidR="003D2C9C">
        <w:rPr>
          <w:rFonts w:asciiTheme="minorHAnsi" w:eastAsiaTheme="minorHAnsi" w:hAnsiTheme="minorHAnsi" w:cstheme="minorBidi"/>
          <w:sz w:val="20"/>
        </w:rPr>
        <w:t xml:space="preserve">  </w:t>
      </w:r>
      <w:r w:rsidRPr="001449D7">
        <w:rPr>
          <w:rFonts w:asciiTheme="minorHAnsi" w:eastAsiaTheme="minorHAnsi" w:hAnsiTheme="minorHAnsi" w:cstheme="minorBidi"/>
          <w:sz w:val="20"/>
        </w:rPr>
        <w:t>by the College and where compliance is mandatory.</w:t>
      </w:r>
    </w:p>
    <w:p w14:paraId="62EB78BD" w14:textId="77777777" w:rsidR="0030460F" w:rsidRPr="003D2C9C" w:rsidRDefault="001449D7" w:rsidP="0030460F">
      <w:pPr>
        <w:numPr>
          <w:ilvl w:val="2"/>
          <w:numId w:val="24"/>
        </w:numPr>
        <w:spacing w:after="160" w:line="259" w:lineRule="auto"/>
        <w:ind w:left="1560" w:hanging="567"/>
        <w:contextualSpacing/>
        <w:jc w:val="both"/>
        <w:rPr>
          <w:rFonts w:asciiTheme="minorHAnsi" w:eastAsiaTheme="minorHAnsi" w:hAnsiTheme="minorHAnsi" w:cstheme="minorBidi"/>
          <w:sz w:val="20"/>
        </w:rPr>
      </w:pPr>
      <w:r w:rsidRPr="001449D7">
        <w:rPr>
          <w:rFonts w:asciiTheme="minorHAnsi" w:eastAsiaTheme="minorHAnsi" w:hAnsiTheme="minorHAnsi" w:cstheme="minorBidi"/>
          <w:sz w:val="20"/>
        </w:rPr>
        <w:t>The terms required have already been subject to a College request for quotation or tender procedure within the last 3 months and where the price obtained is the same as that arrived at in the previous exercise.</w:t>
      </w:r>
    </w:p>
    <w:p w14:paraId="7E83C58B" w14:textId="77777777" w:rsidR="002B1CA1" w:rsidRPr="003D2C9C" w:rsidRDefault="002B1CA1" w:rsidP="009D1033">
      <w:pPr>
        <w:pStyle w:val="Default"/>
        <w:numPr>
          <w:ilvl w:val="0"/>
          <w:numId w:val="24"/>
        </w:numPr>
        <w:ind w:left="284" w:hanging="284"/>
        <w:rPr>
          <w:rFonts w:ascii="Calibri" w:hAnsi="Calibri"/>
          <w:b/>
          <w:sz w:val="20"/>
          <w:szCs w:val="20"/>
        </w:rPr>
      </w:pPr>
      <w:r w:rsidRPr="003D2C9C">
        <w:rPr>
          <w:rFonts w:ascii="Calibri" w:hAnsi="Calibri"/>
          <w:b/>
          <w:sz w:val="20"/>
          <w:szCs w:val="20"/>
        </w:rPr>
        <w:t>General Principles</w:t>
      </w:r>
    </w:p>
    <w:p w14:paraId="203E725D" w14:textId="77777777" w:rsidR="00B23B54" w:rsidRPr="003D2C9C" w:rsidRDefault="00B23B54" w:rsidP="00E30E68">
      <w:pPr>
        <w:jc w:val="both"/>
        <w:rPr>
          <w:rFonts w:ascii="Calibri" w:hAnsi="Calibri" w:cs="Calibri"/>
          <w:sz w:val="20"/>
        </w:rPr>
      </w:pPr>
    </w:p>
    <w:p w14:paraId="16B61FD9" w14:textId="77777777" w:rsidR="003D2C9C" w:rsidRDefault="003D2C9C" w:rsidP="003D2C9C">
      <w:pPr>
        <w:pStyle w:val="ListParagraph"/>
        <w:numPr>
          <w:ilvl w:val="1"/>
          <w:numId w:val="24"/>
        </w:numPr>
        <w:spacing w:after="160" w:line="259" w:lineRule="auto"/>
        <w:ind w:left="1078" w:hanging="794"/>
        <w:contextualSpacing/>
        <w:jc w:val="both"/>
        <w:rPr>
          <w:rFonts w:asciiTheme="minorHAnsi" w:eastAsiaTheme="minorHAnsi" w:hAnsiTheme="minorHAnsi" w:cstheme="minorBidi"/>
          <w:sz w:val="20"/>
        </w:rPr>
      </w:pPr>
      <w:r w:rsidRPr="003D2C9C">
        <w:rPr>
          <w:rFonts w:asciiTheme="minorHAnsi" w:eastAsiaTheme="minorHAnsi" w:hAnsiTheme="minorHAnsi" w:cstheme="minorBidi"/>
          <w:sz w:val="20"/>
        </w:rPr>
        <w:t xml:space="preserve">The tendering procedure must ensure that, not only are the College procurements are legitimate and represent value for money, but also that they are seen to be so. </w:t>
      </w:r>
    </w:p>
    <w:p w14:paraId="63F074F0" w14:textId="77777777" w:rsidR="003D2C9C" w:rsidRPr="003D2C9C" w:rsidRDefault="003D2C9C" w:rsidP="003D2C9C">
      <w:pPr>
        <w:pStyle w:val="ListParagraph"/>
        <w:spacing w:after="160" w:line="259" w:lineRule="auto"/>
        <w:ind w:left="1077"/>
        <w:contextualSpacing/>
        <w:jc w:val="both"/>
        <w:rPr>
          <w:rFonts w:asciiTheme="minorHAnsi" w:eastAsiaTheme="minorHAnsi" w:hAnsiTheme="minorHAnsi" w:cstheme="minorBidi"/>
          <w:sz w:val="20"/>
        </w:rPr>
      </w:pPr>
      <w:r w:rsidRPr="003D2C9C">
        <w:rPr>
          <w:rFonts w:asciiTheme="minorHAnsi" w:eastAsiaTheme="minorHAnsi" w:hAnsiTheme="minorHAnsi" w:cstheme="minorBidi"/>
          <w:sz w:val="20"/>
        </w:rPr>
        <w:t xml:space="preserve">(College </w:t>
      </w:r>
      <w:r>
        <w:rPr>
          <w:rFonts w:asciiTheme="minorHAnsi" w:eastAsiaTheme="minorHAnsi" w:hAnsiTheme="minorHAnsi" w:cstheme="minorBidi"/>
          <w:sz w:val="20"/>
        </w:rPr>
        <w:t>Value for Money Policy</w:t>
      </w:r>
      <w:r w:rsidRPr="003D2C9C">
        <w:rPr>
          <w:rFonts w:asciiTheme="minorHAnsi" w:eastAsiaTheme="minorHAnsi" w:hAnsiTheme="minorHAnsi" w:cstheme="minorBidi"/>
          <w:sz w:val="20"/>
        </w:rPr>
        <w:t xml:space="preserve"> FIN11)</w:t>
      </w:r>
    </w:p>
    <w:p w14:paraId="1AC3025E" w14:textId="77777777" w:rsidR="003D2C9C" w:rsidRDefault="003D2C9C" w:rsidP="003D2C9C">
      <w:pPr>
        <w:numPr>
          <w:ilvl w:val="1"/>
          <w:numId w:val="24"/>
        </w:numPr>
        <w:spacing w:after="160" w:line="259" w:lineRule="auto"/>
        <w:ind w:left="1078" w:hanging="794"/>
        <w:contextualSpacing/>
        <w:jc w:val="both"/>
        <w:rPr>
          <w:rFonts w:asciiTheme="minorHAnsi" w:eastAsiaTheme="minorHAnsi" w:hAnsiTheme="minorHAnsi" w:cstheme="minorBidi"/>
          <w:sz w:val="20"/>
        </w:rPr>
      </w:pPr>
      <w:r w:rsidRPr="003D2C9C">
        <w:rPr>
          <w:rFonts w:asciiTheme="minorHAnsi" w:eastAsiaTheme="minorHAnsi" w:hAnsiTheme="minorHAnsi" w:cstheme="minorBidi"/>
          <w:sz w:val="20"/>
        </w:rPr>
        <w:t>The tendering procedure must be consistently applied and all staff involved with tendering must be able to verify that during their involvement, the tendering procedure has been adhered to.</w:t>
      </w:r>
    </w:p>
    <w:p w14:paraId="463E8832" w14:textId="77777777" w:rsidR="003D2C9C" w:rsidRPr="003D2C9C" w:rsidRDefault="003D2C9C" w:rsidP="003D2C9C">
      <w:pPr>
        <w:spacing w:after="160" w:line="259" w:lineRule="auto"/>
        <w:ind w:left="1078"/>
        <w:contextualSpacing/>
        <w:jc w:val="both"/>
        <w:rPr>
          <w:rFonts w:asciiTheme="minorHAnsi" w:eastAsiaTheme="minorHAnsi" w:hAnsiTheme="minorHAnsi" w:cstheme="minorBidi"/>
          <w:sz w:val="20"/>
        </w:rPr>
      </w:pPr>
    </w:p>
    <w:p w14:paraId="67FBBAE8" w14:textId="77777777" w:rsidR="003D2C9C" w:rsidRDefault="003D2C9C" w:rsidP="003D2C9C">
      <w:pPr>
        <w:numPr>
          <w:ilvl w:val="1"/>
          <w:numId w:val="24"/>
        </w:numPr>
        <w:spacing w:after="160" w:line="259" w:lineRule="auto"/>
        <w:ind w:left="1078" w:hanging="794"/>
        <w:contextualSpacing/>
        <w:jc w:val="both"/>
        <w:rPr>
          <w:rFonts w:asciiTheme="minorHAnsi" w:eastAsiaTheme="minorHAnsi" w:hAnsiTheme="minorHAnsi" w:cstheme="minorBidi"/>
          <w:sz w:val="20"/>
        </w:rPr>
      </w:pPr>
      <w:r w:rsidRPr="003D2C9C">
        <w:rPr>
          <w:rFonts w:asciiTheme="minorHAnsi" w:eastAsiaTheme="minorHAnsi" w:hAnsiTheme="minorHAnsi" w:cstheme="minorBidi"/>
          <w:sz w:val="20"/>
        </w:rPr>
        <w:t>Any person involved in the tender process who has a personal interest in any tender must declare a conflict of interest at the start of their procedure. Failure to do so will result in disciplinary action.</w:t>
      </w:r>
    </w:p>
    <w:p w14:paraId="3F3E40D4" w14:textId="77777777" w:rsidR="003D2C9C" w:rsidRPr="003D2C9C" w:rsidRDefault="003D2C9C" w:rsidP="003D2C9C">
      <w:pPr>
        <w:spacing w:after="160" w:line="259" w:lineRule="auto"/>
        <w:contextualSpacing/>
        <w:jc w:val="both"/>
        <w:rPr>
          <w:rFonts w:asciiTheme="minorHAnsi" w:eastAsiaTheme="minorHAnsi" w:hAnsiTheme="minorHAnsi" w:cstheme="minorBidi"/>
          <w:sz w:val="20"/>
        </w:rPr>
      </w:pPr>
    </w:p>
    <w:p w14:paraId="5249EA18" w14:textId="77777777" w:rsidR="003D2C9C" w:rsidRDefault="003D2C9C" w:rsidP="003D2C9C">
      <w:pPr>
        <w:numPr>
          <w:ilvl w:val="1"/>
          <w:numId w:val="24"/>
        </w:numPr>
        <w:spacing w:after="160" w:line="259" w:lineRule="auto"/>
        <w:ind w:left="1078" w:hanging="794"/>
        <w:contextualSpacing/>
        <w:jc w:val="both"/>
        <w:rPr>
          <w:rFonts w:asciiTheme="minorHAnsi" w:eastAsiaTheme="minorHAnsi" w:hAnsiTheme="minorHAnsi" w:cstheme="minorBidi"/>
          <w:sz w:val="20"/>
        </w:rPr>
      </w:pPr>
      <w:r w:rsidRPr="003D2C9C">
        <w:rPr>
          <w:rFonts w:asciiTheme="minorHAnsi" w:eastAsiaTheme="minorHAnsi" w:hAnsiTheme="minorHAnsi" w:cstheme="minorBidi"/>
          <w:sz w:val="20"/>
        </w:rPr>
        <w:t>During the tendering procedure, the details of any tender from a contractor or supplier are confidential and must not be disclosed to anyone out with the project team or College.</w:t>
      </w:r>
    </w:p>
    <w:p w14:paraId="78A675D4" w14:textId="77777777" w:rsidR="003D2C9C" w:rsidRPr="003D2C9C" w:rsidRDefault="003D2C9C" w:rsidP="003D2C9C">
      <w:pPr>
        <w:spacing w:after="160" w:line="259" w:lineRule="auto"/>
        <w:contextualSpacing/>
        <w:jc w:val="both"/>
        <w:rPr>
          <w:rFonts w:asciiTheme="minorHAnsi" w:eastAsiaTheme="minorHAnsi" w:hAnsiTheme="minorHAnsi" w:cstheme="minorBidi"/>
          <w:sz w:val="20"/>
        </w:rPr>
      </w:pPr>
    </w:p>
    <w:p w14:paraId="2503416D" w14:textId="77777777" w:rsidR="003D2C9C" w:rsidRDefault="003D2C9C" w:rsidP="003D2C9C">
      <w:pPr>
        <w:numPr>
          <w:ilvl w:val="1"/>
          <w:numId w:val="24"/>
        </w:numPr>
        <w:spacing w:after="160" w:line="259" w:lineRule="auto"/>
        <w:ind w:hanging="796"/>
        <w:contextualSpacing/>
        <w:jc w:val="both"/>
        <w:rPr>
          <w:rFonts w:asciiTheme="minorHAnsi" w:eastAsiaTheme="minorHAnsi" w:hAnsiTheme="minorHAnsi" w:cstheme="minorBidi"/>
          <w:sz w:val="20"/>
        </w:rPr>
      </w:pPr>
      <w:r w:rsidRPr="003D2C9C">
        <w:rPr>
          <w:rFonts w:asciiTheme="minorHAnsi" w:eastAsiaTheme="minorHAnsi" w:hAnsiTheme="minorHAnsi" w:cstheme="minorBidi"/>
          <w:sz w:val="20"/>
        </w:rPr>
        <w:t>At the end of the tendering procedure, a contract may be let. However, details of the successful tenderer must remain confidential to the College until a formal award notice is posted on Public Contracts Scotland website.</w:t>
      </w:r>
    </w:p>
    <w:p w14:paraId="08F1AC5F" w14:textId="77777777" w:rsidR="003D2C9C" w:rsidRPr="003D2C9C" w:rsidRDefault="003D2C9C" w:rsidP="003D2C9C">
      <w:pPr>
        <w:spacing w:after="160" w:line="259" w:lineRule="auto"/>
        <w:contextualSpacing/>
        <w:jc w:val="both"/>
        <w:rPr>
          <w:rFonts w:asciiTheme="minorHAnsi" w:eastAsiaTheme="minorHAnsi" w:hAnsiTheme="minorHAnsi" w:cstheme="minorBidi"/>
          <w:sz w:val="20"/>
        </w:rPr>
      </w:pPr>
    </w:p>
    <w:p w14:paraId="3A6E6DB6" w14:textId="77777777" w:rsidR="003D2C9C" w:rsidRDefault="003D2C9C" w:rsidP="003D2C9C">
      <w:pPr>
        <w:numPr>
          <w:ilvl w:val="1"/>
          <w:numId w:val="24"/>
        </w:numPr>
        <w:spacing w:after="160" w:line="259" w:lineRule="auto"/>
        <w:ind w:hanging="796"/>
        <w:contextualSpacing/>
        <w:jc w:val="both"/>
        <w:rPr>
          <w:rFonts w:asciiTheme="minorHAnsi" w:eastAsiaTheme="minorHAnsi" w:hAnsiTheme="minorHAnsi" w:cstheme="minorBidi"/>
          <w:sz w:val="20"/>
        </w:rPr>
      </w:pPr>
      <w:r w:rsidRPr="003D2C9C">
        <w:rPr>
          <w:rFonts w:asciiTheme="minorHAnsi" w:eastAsiaTheme="minorHAnsi" w:hAnsiTheme="minorHAnsi" w:cstheme="minorBidi"/>
          <w:sz w:val="20"/>
        </w:rPr>
        <w:t>Feedback to the unsuccessful Suppliers must only be carried out by a member of the Procurement team.</w:t>
      </w:r>
    </w:p>
    <w:p w14:paraId="3973B79C" w14:textId="77777777" w:rsidR="003D2C9C" w:rsidRPr="003D2C9C" w:rsidRDefault="003D2C9C" w:rsidP="003D2C9C">
      <w:pPr>
        <w:spacing w:after="160" w:line="259" w:lineRule="auto"/>
        <w:contextualSpacing/>
        <w:jc w:val="both"/>
        <w:rPr>
          <w:rFonts w:asciiTheme="minorHAnsi" w:eastAsiaTheme="minorHAnsi" w:hAnsiTheme="minorHAnsi" w:cstheme="minorBidi"/>
          <w:sz w:val="20"/>
        </w:rPr>
      </w:pPr>
    </w:p>
    <w:p w14:paraId="2757A301" w14:textId="77777777" w:rsidR="003D2C9C" w:rsidRDefault="003D2C9C" w:rsidP="003D2C9C">
      <w:pPr>
        <w:numPr>
          <w:ilvl w:val="1"/>
          <w:numId w:val="24"/>
        </w:numPr>
        <w:spacing w:after="160" w:line="259" w:lineRule="auto"/>
        <w:ind w:hanging="796"/>
        <w:contextualSpacing/>
        <w:jc w:val="both"/>
        <w:rPr>
          <w:rFonts w:asciiTheme="minorHAnsi" w:eastAsiaTheme="minorHAnsi" w:hAnsiTheme="minorHAnsi" w:cstheme="minorBidi"/>
          <w:sz w:val="20"/>
        </w:rPr>
      </w:pPr>
      <w:r w:rsidRPr="003D2C9C">
        <w:rPr>
          <w:rFonts w:asciiTheme="minorHAnsi" w:eastAsiaTheme="minorHAnsi" w:hAnsiTheme="minorHAnsi" w:cstheme="minorBidi"/>
          <w:sz w:val="20"/>
        </w:rPr>
        <w:t xml:space="preserve">The College is committed to Sustainable Procurement and the APUC Ltd Sustainable Procurement Test shall be carried out for all procurements </w:t>
      </w:r>
      <w:r>
        <w:rPr>
          <w:rFonts w:asciiTheme="minorHAnsi" w:eastAsiaTheme="minorHAnsi" w:hAnsiTheme="minorHAnsi" w:cstheme="minorBidi"/>
          <w:sz w:val="20"/>
        </w:rPr>
        <w:t>in excess of £50,000</w:t>
      </w:r>
      <w:r w:rsidRPr="003D2C9C">
        <w:rPr>
          <w:rFonts w:asciiTheme="minorHAnsi" w:eastAsiaTheme="minorHAnsi" w:hAnsiTheme="minorHAnsi" w:cstheme="minorBidi"/>
          <w:sz w:val="20"/>
        </w:rPr>
        <w:t xml:space="preserve"> (College Policy Procedures documents FIN07.0 or FIN07.3)</w:t>
      </w:r>
    </w:p>
    <w:p w14:paraId="68153434" w14:textId="77777777" w:rsidR="003D2C9C" w:rsidRPr="003D2C9C" w:rsidRDefault="003D2C9C" w:rsidP="003D2C9C">
      <w:pPr>
        <w:spacing w:after="160" w:line="259" w:lineRule="auto"/>
        <w:contextualSpacing/>
        <w:jc w:val="both"/>
        <w:rPr>
          <w:rFonts w:asciiTheme="minorHAnsi" w:eastAsiaTheme="minorHAnsi" w:hAnsiTheme="minorHAnsi" w:cstheme="minorBidi"/>
          <w:sz w:val="20"/>
        </w:rPr>
      </w:pPr>
    </w:p>
    <w:p w14:paraId="10809CBD" w14:textId="77777777" w:rsidR="003D2C9C" w:rsidRDefault="003D2C9C" w:rsidP="003D2C9C">
      <w:pPr>
        <w:numPr>
          <w:ilvl w:val="1"/>
          <w:numId w:val="24"/>
        </w:numPr>
        <w:spacing w:after="160" w:line="259" w:lineRule="auto"/>
        <w:ind w:hanging="796"/>
        <w:contextualSpacing/>
        <w:jc w:val="both"/>
        <w:rPr>
          <w:rFonts w:asciiTheme="minorHAnsi" w:eastAsiaTheme="minorHAnsi" w:hAnsiTheme="minorHAnsi" w:cstheme="minorBidi"/>
          <w:sz w:val="20"/>
        </w:rPr>
      </w:pPr>
      <w:r w:rsidRPr="003D2C9C">
        <w:rPr>
          <w:rFonts w:asciiTheme="minorHAnsi" w:eastAsiaTheme="minorHAnsi" w:hAnsiTheme="minorHAnsi" w:cstheme="minorBidi"/>
          <w:sz w:val="20"/>
        </w:rPr>
        <w:t xml:space="preserve">In the event only one Supplier can provide your requirements a Sole Source Justification form should be completed and sent to </w:t>
      </w:r>
      <w:r>
        <w:rPr>
          <w:rFonts w:asciiTheme="minorHAnsi" w:eastAsiaTheme="minorHAnsi" w:hAnsiTheme="minorHAnsi" w:cstheme="minorBidi"/>
          <w:sz w:val="20"/>
        </w:rPr>
        <w:t xml:space="preserve">the </w:t>
      </w:r>
      <w:r w:rsidR="005A77A0">
        <w:rPr>
          <w:rFonts w:asciiTheme="minorHAnsi" w:eastAsiaTheme="minorHAnsi" w:hAnsiTheme="minorHAnsi" w:cstheme="minorBidi"/>
          <w:sz w:val="20"/>
        </w:rPr>
        <w:t>Supply Chain Manager</w:t>
      </w:r>
      <w:r w:rsidRPr="003D2C9C">
        <w:rPr>
          <w:rFonts w:asciiTheme="minorHAnsi" w:eastAsiaTheme="minorHAnsi" w:hAnsiTheme="minorHAnsi" w:cstheme="minorBidi"/>
          <w:sz w:val="20"/>
        </w:rPr>
        <w:t xml:space="preserve"> for authorisation.</w:t>
      </w:r>
    </w:p>
    <w:p w14:paraId="3109BD14" w14:textId="77777777" w:rsidR="003D2C9C" w:rsidRPr="003D2C9C" w:rsidRDefault="003D2C9C" w:rsidP="003D2C9C">
      <w:pPr>
        <w:spacing w:after="160" w:line="259" w:lineRule="auto"/>
        <w:contextualSpacing/>
        <w:jc w:val="both"/>
        <w:rPr>
          <w:rFonts w:asciiTheme="minorHAnsi" w:eastAsiaTheme="minorHAnsi" w:hAnsiTheme="minorHAnsi" w:cstheme="minorBidi"/>
          <w:sz w:val="20"/>
        </w:rPr>
      </w:pPr>
    </w:p>
    <w:p w14:paraId="5DA76781" w14:textId="77777777" w:rsidR="0085689F" w:rsidRPr="006228B5" w:rsidRDefault="003D2C9C" w:rsidP="006228B5">
      <w:pPr>
        <w:numPr>
          <w:ilvl w:val="1"/>
          <w:numId w:val="24"/>
        </w:numPr>
        <w:spacing w:after="160" w:line="259" w:lineRule="auto"/>
        <w:ind w:hanging="796"/>
        <w:contextualSpacing/>
        <w:jc w:val="both"/>
        <w:rPr>
          <w:rFonts w:asciiTheme="minorHAnsi" w:eastAsiaTheme="minorHAnsi" w:hAnsiTheme="minorHAnsi" w:cstheme="minorBidi"/>
          <w:sz w:val="20"/>
        </w:rPr>
      </w:pPr>
      <w:r w:rsidRPr="003D2C9C">
        <w:rPr>
          <w:rFonts w:asciiTheme="minorHAnsi" w:eastAsiaTheme="minorHAnsi" w:hAnsiTheme="minorHAnsi" w:cstheme="minorBidi"/>
          <w:sz w:val="20"/>
        </w:rPr>
        <w:t>In emergencies the policy can be over-ridden with the express written approval of any</w:t>
      </w:r>
      <w:r>
        <w:rPr>
          <w:rFonts w:asciiTheme="minorHAnsi" w:eastAsiaTheme="minorHAnsi" w:hAnsiTheme="minorHAnsi" w:cstheme="minorBidi"/>
          <w:sz w:val="20"/>
        </w:rPr>
        <w:t xml:space="preserve"> member</w:t>
      </w:r>
      <w:r w:rsidRPr="003D2C9C">
        <w:rPr>
          <w:rFonts w:asciiTheme="minorHAnsi" w:eastAsiaTheme="minorHAnsi" w:hAnsiTheme="minorHAnsi" w:cstheme="minorBidi"/>
          <w:sz w:val="20"/>
        </w:rPr>
        <w:t xml:space="preserve"> of the Senior Management team.</w:t>
      </w:r>
    </w:p>
    <w:p w14:paraId="7A3AA563" w14:textId="5947BDCD" w:rsidR="0030460F" w:rsidRDefault="0030460F">
      <w:pPr>
        <w:ind w:left="851" w:hanging="851"/>
        <w:jc w:val="both"/>
        <w:rPr>
          <w:rFonts w:ascii="Calibri" w:hAnsi="Calibri" w:cs="Calibri"/>
          <w:sz w:val="24"/>
          <w:szCs w:val="24"/>
        </w:rPr>
      </w:pPr>
    </w:p>
    <w:p w14:paraId="30494B0C" w14:textId="06D0E294" w:rsidR="005D314B" w:rsidRDefault="005D314B">
      <w:pPr>
        <w:ind w:left="851" w:hanging="851"/>
        <w:jc w:val="both"/>
        <w:rPr>
          <w:rFonts w:ascii="Calibri" w:hAnsi="Calibri" w:cs="Calibri"/>
          <w:sz w:val="24"/>
          <w:szCs w:val="24"/>
        </w:rPr>
      </w:pPr>
    </w:p>
    <w:p w14:paraId="16910BBA" w14:textId="557BAEBE" w:rsidR="005D314B" w:rsidRDefault="005D314B">
      <w:pPr>
        <w:ind w:left="851" w:hanging="851"/>
        <w:jc w:val="both"/>
        <w:rPr>
          <w:rFonts w:ascii="Calibri" w:hAnsi="Calibri" w:cs="Calibri"/>
          <w:sz w:val="24"/>
          <w:szCs w:val="24"/>
        </w:rPr>
      </w:pPr>
    </w:p>
    <w:p w14:paraId="04EB9681" w14:textId="77777777" w:rsidR="005D314B" w:rsidRPr="00B22E7A" w:rsidRDefault="005D314B">
      <w:pPr>
        <w:ind w:left="851" w:hanging="851"/>
        <w:jc w:val="both"/>
        <w:rPr>
          <w:rFonts w:ascii="Calibri" w:hAnsi="Calibri" w:cs="Calibri"/>
          <w:sz w:val="24"/>
          <w:szCs w:val="24"/>
        </w:rPr>
      </w:pPr>
    </w:p>
    <w:p w14:paraId="36E7CBE3" w14:textId="77777777" w:rsidR="0030460F" w:rsidRPr="006228B5" w:rsidRDefault="0030460F" w:rsidP="009D1033">
      <w:pPr>
        <w:pStyle w:val="Default"/>
        <w:numPr>
          <w:ilvl w:val="0"/>
          <w:numId w:val="24"/>
        </w:numPr>
        <w:ind w:left="284" w:hanging="284"/>
        <w:rPr>
          <w:rFonts w:ascii="Calibri" w:hAnsi="Calibri"/>
          <w:b/>
          <w:sz w:val="20"/>
          <w:szCs w:val="20"/>
        </w:rPr>
      </w:pPr>
      <w:r w:rsidRPr="006228B5">
        <w:rPr>
          <w:rFonts w:ascii="Calibri" w:hAnsi="Calibri"/>
          <w:b/>
          <w:sz w:val="20"/>
          <w:szCs w:val="20"/>
        </w:rPr>
        <w:t xml:space="preserve">Responsibilities </w:t>
      </w:r>
    </w:p>
    <w:p w14:paraId="7585A64B" w14:textId="77777777" w:rsidR="00F67BF6" w:rsidRDefault="00F67BF6" w:rsidP="00E30E68">
      <w:pPr>
        <w:pStyle w:val="Default"/>
        <w:jc w:val="both"/>
        <w:rPr>
          <w:sz w:val="23"/>
          <w:szCs w:val="23"/>
        </w:rPr>
      </w:pPr>
    </w:p>
    <w:p w14:paraId="23497B7E" w14:textId="0AD17694" w:rsidR="006228B5" w:rsidRPr="006228B5" w:rsidRDefault="005A77A0" w:rsidP="006228B5">
      <w:pPr>
        <w:pStyle w:val="ListParagraph"/>
        <w:numPr>
          <w:ilvl w:val="1"/>
          <w:numId w:val="24"/>
        </w:numPr>
        <w:spacing w:after="160" w:line="259" w:lineRule="auto"/>
        <w:ind w:hanging="796"/>
        <w:contextualSpacing/>
        <w:jc w:val="both"/>
        <w:rPr>
          <w:rFonts w:asciiTheme="minorHAnsi" w:eastAsiaTheme="minorHAnsi" w:hAnsiTheme="minorHAnsi" w:cstheme="minorBidi"/>
          <w:sz w:val="20"/>
        </w:rPr>
      </w:pPr>
      <w:r>
        <w:rPr>
          <w:rFonts w:asciiTheme="minorHAnsi" w:eastAsiaTheme="minorHAnsi" w:hAnsiTheme="minorHAnsi" w:cstheme="minorBidi"/>
          <w:sz w:val="20"/>
        </w:rPr>
        <w:t>The</w:t>
      </w:r>
      <w:r w:rsidR="009905E5">
        <w:rPr>
          <w:rFonts w:asciiTheme="minorHAnsi" w:eastAsiaTheme="minorHAnsi" w:hAnsiTheme="minorHAnsi" w:cstheme="minorBidi"/>
          <w:sz w:val="20"/>
        </w:rPr>
        <w:t xml:space="preserve"> Chief Financial Officer</w:t>
      </w:r>
      <w:r w:rsidR="006228B5" w:rsidRPr="006228B5">
        <w:rPr>
          <w:rFonts w:asciiTheme="minorHAnsi" w:eastAsiaTheme="minorHAnsi" w:hAnsiTheme="minorHAnsi" w:cstheme="minorBidi"/>
          <w:sz w:val="20"/>
        </w:rPr>
        <w:t xml:space="preserve"> is responsible for ensuring that the College complies with its legal obligations concerning Procurement legislation and the Reform Act duties.</w:t>
      </w:r>
    </w:p>
    <w:p w14:paraId="55134825" w14:textId="211CDC82" w:rsidR="006228B5" w:rsidRPr="006228B5" w:rsidRDefault="006228B5" w:rsidP="006228B5">
      <w:pPr>
        <w:numPr>
          <w:ilvl w:val="1"/>
          <w:numId w:val="24"/>
        </w:numPr>
        <w:spacing w:after="160" w:line="259" w:lineRule="auto"/>
        <w:ind w:hanging="796"/>
        <w:contextualSpacing/>
        <w:jc w:val="both"/>
        <w:rPr>
          <w:rFonts w:asciiTheme="minorHAnsi" w:eastAsiaTheme="minorHAnsi" w:hAnsiTheme="minorHAnsi" w:cstheme="minorBidi"/>
          <w:sz w:val="20"/>
        </w:rPr>
      </w:pPr>
      <w:r w:rsidRPr="006228B5">
        <w:rPr>
          <w:rFonts w:asciiTheme="minorHAnsi" w:eastAsiaTheme="minorHAnsi" w:hAnsiTheme="minorHAnsi" w:cstheme="minorBidi"/>
          <w:sz w:val="20"/>
        </w:rPr>
        <w:t xml:space="preserve">The </w:t>
      </w:r>
      <w:r w:rsidR="005A77A0">
        <w:rPr>
          <w:rFonts w:asciiTheme="minorHAnsi" w:eastAsiaTheme="minorHAnsi" w:hAnsiTheme="minorHAnsi" w:cstheme="minorBidi"/>
          <w:sz w:val="20"/>
        </w:rPr>
        <w:t>Supply Chain Manager</w:t>
      </w:r>
      <w:r w:rsidRPr="006228B5">
        <w:rPr>
          <w:rFonts w:asciiTheme="minorHAnsi" w:eastAsiaTheme="minorHAnsi" w:hAnsiTheme="minorHAnsi" w:cstheme="minorBidi"/>
          <w:sz w:val="20"/>
        </w:rPr>
        <w:t xml:space="preserve"> is responsible for managing </w:t>
      </w:r>
      <w:r w:rsidR="005D314B">
        <w:rPr>
          <w:rFonts w:asciiTheme="minorHAnsi" w:eastAsiaTheme="minorHAnsi" w:hAnsiTheme="minorHAnsi" w:cstheme="minorBidi"/>
          <w:sz w:val="20"/>
        </w:rPr>
        <w:t>Regulated procurements</w:t>
      </w:r>
      <w:r w:rsidR="005D314B" w:rsidRPr="005D314B">
        <w:rPr>
          <w:rFonts w:asciiTheme="minorHAnsi" w:eastAsiaTheme="minorHAnsi" w:hAnsiTheme="minorHAnsi" w:cstheme="minorBidi"/>
          <w:sz w:val="20"/>
        </w:rPr>
        <w:t xml:space="preserve"> </w:t>
      </w:r>
      <w:r w:rsidR="005D314B">
        <w:rPr>
          <w:rFonts w:asciiTheme="minorHAnsi" w:eastAsiaTheme="minorHAnsi" w:hAnsiTheme="minorHAnsi" w:cstheme="minorBidi"/>
          <w:sz w:val="20"/>
        </w:rPr>
        <w:t xml:space="preserve">between £50k and the GPA threshold, Regulated procurements above the GPA threshold </w:t>
      </w:r>
      <w:r w:rsidRPr="006228B5">
        <w:rPr>
          <w:rFonts w:asciiTheme="minorHAnsi" w:eastAsiaTheme="minorHAnsi" w:hAnsiTheme="minorHAnsi" w:cstheme="minorBidi"/>
          <w:sz w:val="20"/>
        </w:rPr>
        <w:t>and training and support of any procurement activity.</w:t>
      </w:r>
    </w:p>
    <w:p w14:paraId="6D65E570" w14:textId="77777777" w:rsidR="00363F46" w:rsidRPr="006228B5" w:rsidRDefault="00363F46">
      <w:pPr>
        <w:pStyle w:val="BodyText"/>
        <w:rPr>
          <w:rFonts w:ascii="Calibri" w:hAnsi="Calibri" w:cs="Calibri"/>
          <w:sz w:val="20"/>
        </w:rPr>
      </w:pPr>
    </w:p>
    <w:p w14:paraId="791FDB64" w14:textId="77777777" w:rsidR="005A6126" w:rsidRPr="006228B5" w:rsidRDefault="005A6126" w:rsidP="009D1033">
      <w:pPr>
        <w:pStyle w:val="Default"/>
        <w:numPr>
          <w:ilvl w:val="0"/>
          <w:numId w:val="24"/>
        </w:numPr>
        <w:ind w:left="284" w:hanging="284"/>
        <w:rPr>
          <w:rFonts w:ascii="Calibri" w:hAnsi="Calibri"/>
          <w:b/>
          <w:sz w:val="20"/>
          <w:szCs w:val="20"/>
        </w:rPr>
      </w:pPr>
      <w:bookmarkStart w:id="1" w:name="_Toc386458559"/>
      <w:r w:rsidRPr="006228B5">
        <w:rPr>
          <w:rFonts w:ascii="Calibri" w:hAnsi="Calibri"/>
          <w:b/>
          <w:sz w:val="20"/>
          <w:szCs w:val="20"/>
        </w:rPr>
        <w:t>Linked Policies/Related Documents</w:t>
      </w:r>
      <w:bookmarkEnd w:id="1"/>
    </w:p>
    <w:p w14:paraId="56308622" w14:textId="77777777" w:rsidR="00404C50" w:rsidRPr="006228B5" w:rsidRDefault="00404C50" w:rsidP="00404C50">
      <w:pPr>
        <w:pStyle w:val="Default"/>
        <w:ind w:left="284"/>
        <w:rPr>
          <w:rFonts w:ascii="Calibri" w:hAnsi="Calibri"/>
          <w:b/>
          <w:sz w:val="20"/>
          <w:szCs w:val="20"/>
        </w:rPr>
      </w:pPr>
    </w:p>
    <w:p w14:paraId="1E96BB78" w14:textId="77777777" w:rsidR="00F67BF6" w:rsidRPr="006228B5" w:rsidRDefault="00404C50" w:rsidP="00F67BF6">
      <w:pPr>
        <w:ind w:firstLine="284"/>
        <w:rPr>
          <w:rFonts w:ascii="Calibri" w:hAnsi="Calibri"/>
          <w:sz w:val="20"/>
        </w:rPr>
      </w:pPr>
      <w:r w:rsidRPr="006228B5">
        <w:rPr>
          <w:rFonts w:ascii="Calibri" w:hAnsi="Calibri"/>
          <w:sz w:val="20"/>
        </w:rPr>
        <w:t>8</w:t>
      </w:r>
      <w:r w:rsidR="00F67BF6" w:rsidRPr="006228B5">
        <w:rPr>
          <w:rFonts w:ascii="Calibri" w:hAnsi="Calibri"/>
          <w:sz w:val="20"/>
        </w:rPr>
        <w:t>.1</w:t>
      </w:r>
      <w:r w:rsidR="00F67BF6" w:rsidRPr="006228B5">
        <w:rPr>
          <w:rFonts w:ascii="Calibri" w:hAnsi="Calibri"/>
          <w:sz w:val="20"/>
        </w:rPr>
        <w:tab/>
        <w:t>College Financial Regulations</w:t>
      </w:r>
      <w:r w:rsidR="006228B5" w:rsidRPr="006228B5">
        <w:rPr>
          <w:rFonts w:ascii="Calibri" w:hAnsi="Calibri"/>
          <w:sz w:val="20"/>
        </w:rPr>
        <w:t xml:space="preserve"> (FIN01)</w:t>
      </w:r>
    </w:p>
    <w:p w14:paraId="17A29A67" w14:textId="77777777" w:rsidR="00F67BF6" w:rsidRPr="006228B5" w:rsidRDefault="00404C50" w:rsidP="00F67BF6">
      <w:pPr>
        <w:ind w:firstLine="284"/>
        <w:rPr>
          <w:rFonts w:ascii="Calibri" w:hAnsi="Calibri"/>
          <w:sz w:val="20"/>
        </w:rPr>
      </w:pPr>
      <w:r w:rsidRPr="006228B5">
        <w:rPr>
          <w:rFonts w:ascii="Calibri" w:hAnsi="Calibri"/>
          <w:sz w:val="20"/>
        </w:rPr>
        <w:t>8</w:t>
      </w:r>
      <w:r w:rsidR="00F67BF6" w:rsidRPr="006228B5">
        <w:rPr>
          <w:rFonts w:ascii="Calibri" w:hAnsi="Calibri"/>
          <w:sz w:val="20"/>
        </w:rPr>
        <w:t>.2</w:t>
      </w:r>
      <w:r w:rsidR="00F67BF6" w:rsidRPr="006228B5">
        <w:rPr>
          <w:rFonts w:ascii="Calibri" w:hAnsi="Calibri"/>
          <w:sz w:val="20"/>
        </w:rPr>
        <w:tab/>
        <w:t>College Value for Money Policy</w:t>
      </w:r>
      <w:r w:rsidR="006228B5" w:rsidRPr="006228B5">
        <w:rPr>
          <w:rFonts w:ascii="Calibri" w:hAnsi="Calibri"/>
          <w:sz w:val="20"/>
        </w:rPr>
        <w:t xml:space="preserve"> (FIN11)</w:t>
      </w:r>
    </w:p>
    <w:p w14:paraId="540A108C" w14:textId="77777777" w:rsidR="00F67BF6" w:rsidRPr="006228B5" w:rsidRDefault="00404C50" w:rsidP="00F67BF6">
      <w:pPr>
        <w:ind w:firstLine="284"/>
        <w:rPr>
          <w:rFonts w:ascii="Calibri" w:hAnsi="Calibri"/>
          <w:sz w:val="20"/>
        </w:rPr>
      </w:pPr>
      <w:r w:rsidRPr="006228B5">
        <w:rPr>
          <w:rFonts w:ascii="Calibri" w:hAnsi="Calibri"/>
          <w:sz w:val="20"/>
        </w:rPr>
        <w:t>8</w:t>
      </w:r>
      <w:r w:rsidR="00F67BF6" w:rsidRPr="006228B5">
        <w:rPr>
          <w:rFonts w:ascii="Calibri" w:hAnsi="Calibri"/>
          <w:sz w:val="20"/>
        </w:rPr>
        <w:t>.3</w:t>
      </w:r>
      <w:r w:rsidR="00F67BF6" w:rsidRPr="006228B5">
        <w:rPr>
          <w:rFonts w:ascii="Calibri" w:hAnsi="Calibri"/>
          <w:sz w:val="20"/>
        </w:rPr>
        <w:tab/>
        <w:t>College Delegated Financial Authority Policy</w:t>
      </w:r>
    </w:p>
    <w:p w14:paraId="2129AE5E" w14:textId="77777777" w:rsidR="00F67BF6" w:rsidRPr="006228B5" w:rsidRDefault="00404C50" w:rsidP="00F67BF6">
      <w:pPr>
        <w:ind w:firstLine="284"/>
        <w:rPr>
          <w:rFonts w:ascii="Calibri" w:hAnsi="Calibri"/>
          <w:sz w:val="20"/>
        </w:rPr>
      </w:pPr>
      <w:r w:rsidRPr="006228B5">
        <w:rPr>
          <w:rFonts w:ascii="Calibri" w:hAnsi="Calibri"/>
          <w:sz w:val="20"/>
        </w:rPr>
        <w:t>8</w:t>
      </w:r>
      <w:r w:rsidR="00F67BF6" w:rsidRPr="006228B5">
        <w:rPr>
          <w:rFonts w:ascii="Calibri" w:hAnsi="Calibri"/>
          <w:sz w:val="20"/>
        </w:rPr>
        <w:t>.4</w:t>
      </w:r>
      <w:r w:rsidR="00F67BF6" w:rsidRPr="006228B5">
        <w:rPr>
          <w:rFonts w:ascii="Calibri" w:hAnsi="Calibri"/>
          <w:sz w:val="20"/>
        </w:rPr>
        <w:tab/>
        <w:t>College Tendering Procedures</w:t>
      </w:r>
      <w:r w:rsidR="006228B5" w:rsidRPr="006228B5">
        <w:rPr>
          <w:rFonts w:ascii="Calibri" w:hAnsi="Calibri"/>
          <w:sz w:val="20"/>
        </w:rPr>
        <w:t xml:space="preserve"> (FIN07.1)</w:t>
      </w:r>
    </w:p>
    <w:p w14:paraId="57130804" w14:textId="77777777" w:rsidR="005A6126" w:rsidRDefault="005A6126" w:rsidP="005A6126">
      <w:pPr>
        <w:jc w:val="both"/>
        <w:rPr>
          <w:rFonts w:ascii="Calibri" w:hAnsi="Calibri"/>
        </w:rPr>
      </w:pPr>
    </w:p>
    <w:p w14:paraId="10276051" w14:textId="77777777" w:rsidR="00404C50" w:rsidRPr="00CB4828" w:rsidRDefault="00404C50" w:rsidP="005A6126">
      <w:pPr>
        <w:jc w:val="both"/>
        <w:rPr>
          <w:rFonts w:ascii="Calibri" w:hAnsi="Calibri"/>
        </w:rPr>
      </w:pPr>
    </w:p>
    <w:p w14:paraId="51A6B541" w14:textId="77777777" w:rsidR="005A6126" w:rsidRPr="006228B5" w:rsidRDefault="006228B5" w:rsidP="009D1033">
      <w:pPr>
        <w:pStyle w:val="Default"/>
        <w:numPr>
          <w:ilvl w:val="0"/>
          <w:numId w:val="24"/>
        </w:numPr>
        <w:ind w:left="284" w:hanging="284"/>
        <w:rPr>
          <w:rFonts w:ascii="Calibri" w:hAnsi="Calibri"/>
          <w:b/>
          <w:sz w:val="20"/>
          <w:szCs w:val="20"/>
        </w:rPr>
      </w:pPr>
      <w:r w:rsidRPr="006228B5">
        <w:rPr>
          <w:rFonts w:ascii="Calibri" w:hAnsi="Calibri"/>
          <w:b/>
          <w:sz w:val="20"/>
          <w:szCs w:val="20"/>
        </w:rPr>
        <w:t>Useful Links</w:t>
      </w:r>
    </w:p>
    <w:p w14:paraId="03845070" w14:textId="77777777" w:rsidR="005A6126" w:rsidRPr="005A6126" w:rsidRDefault="005A6126" w:rsidP="005A6126">
      <w:pPr>
        <w:pStyle w:val="ListParagraph"/>
        <w:jc w:val="both"/>
        <w:rPr>
          <w:rFonts w:ascii="Calibri" w:hAnsi="Calibri"/>
        </w:rPr>
      </w:pPr>
    </w:p>
    <w:p w14:paraId="060E99A7" w14:textId="7F695D7F" w:rsidR="00235420" w:rsidRDefault="006228B5" w:rsidP="00235420">
      <w:pPr>
        <w:pStyle w:val="ListParagraph"/>
        <w:numPr>
          <w:ilvl w:val="1"/>
          <w:numId w:val="24"/>
        </w:numPr>
        <w:spacing w:after="160" w:line="259" w:lineRule="auto"/>
        <w:ind w:left="851" w:hanging="567"/>
        <w:contextualSpacing/>
        <w:jc w:val="both"/>
        <w:rPr>
          <w:rFonts w:asciiTheme="minorHAnsi" w:eastAsiaTheme="minorHAnsi" w:hAnsiTheme="minorHAnsi" w:cstheme="minorBidi"/>
          <w:sz w:val="20"/>
        </w:rPr>
      </w:pPr>
      <w:r w:rsidRPr="006228B5">
        <w:rPr>
          <w:rFonts w:asciiTheme="minorHAnsi" w:eastAsiaTheme="minorHAnsi" w:hAnsiTheme="minorHAnsi" w:cstheme="minorBidi"/>
          <w:sz w:val="20"/>
        </w:rPr>
        <w:t xml:space="preserve">Current EU </w:t>
      </w:r>
      <w:r w:rsidR="005D314B">
        <w:rPr>
          <w:rFonts w:asciiTheme="minorHAnsi" w:eastAsiaTheme="minorHAnsi" w:hAnsiTheme="minorHAnsi" w:cstheme="minorBidi"/>
          <w:sz w:val="20"/>
        </w:rPr>
        <w:t>procurement</w:t>
      </w:r>
      <w:r w:rsidR="005D314B" w:rsidRPr="006228B5">
        <w:rPr>
          <w:rFonts w:asciiTheme="minorHAnsi" w:eastAsiaTheme="minorHAnsi" w:hAnsiTheme="minorHAnsi" w:cstheme="minorBidi"/>
          <w:sz w:val="20"/>
        </w:rPr>
        <w:t xml:space="preserve"> </w:t>
      </w:r>
      <w:r w:rsidRPr="006228B5">
        <w:rPr>
          <w:rFonts w:asciiTheme="minorHAnsi" w:eastAsiaTheme="minorHAnsi" w:hAnsiTheme="minorHAnsi" w:cstheme="minorBidi"/>
          <w:sz w:val="20"/>
        </w:rPr>
        <w:t xml:space="preserve">thresholds </w:t>
      </w:r>
    </w:p>
    <w:p w14:paraId="4F1F7145" w14:textId="35CD9EF3" w:rsidR="0061444D" w:rsidRPr="0061444D" w:rsidRDefault="00246C0B" w:rsidP="0061444D">
      <w:pPr>
        <w:pStyle w:val="ListParagraph"/>
        <w:spacing w:line="259" w:lineRule="auto"/>
        <w:ind w:left="851"/>
        <w:contextualSpacing/>
        <w:jc w:val="both"/>
        <w:rPr>
          <w:rFonts w:asciiTheme="minorHAnsi" w:eastAsiaTheme="minorHAnsi" w:hAnsiTheme="minorHAnsi" w:cstheme="minorBidi"/>
          <w:sz w:val="20"/>
        </w:rPr>
      </w:pPr>
      <w:hyperlink r:id="rId12" w:history="1">
        <w:r w:rsidR="0061444D" w:rsidRPr="0061444D">
          <w:rPr>
            <w:rStyle w:val="Hyperlink"/>
            <w:rFonts w:asciiTheme="minorHAnsi" w:eastAsiaTheme="minorHAnsi" w:hAnsiTheme="minorHAnsi" w:cstheme="minorBidi"/>
            <w:sz w:val="20"/>
          </w:rPr>
          <w:t>https://www.procurementjourney.scot/additional-resources/thresholds</w:t>
        </w:r>
      </w:hyperlink>
    </w:p>
    <w:p w14:paraId="054B3D80" w14:textId="51535B83" w:rsidR="005D314B" w:rsidRDefault="005D314B" w:rsidP="006228B5">
      <w:pPr>
        <w:numPr>
          <w:ilvl w:val="1"/>
          <w:numId w:val="24"/>
        </w:numPr>
        <w:spacing w:after="160" w:line="259" w:lineRule="auto"/>
        <w:ind w:left="851" w:hanging="567"/>
        <w:contextualSpacing/>
        <w:jc w:val="both"/>
        <w:rPr>
          <w:rFonts w:asciiTheme="minorHAnsi" w:eastAsiaTheme="minorHAnsi" w:hAnsiTheme="minorHAnsi" w:cstheme="minorBidi"/>
          <w:sz w:val="20"/>
        </w:rPr>
      </w:pPr>
      <w:r w:rsidRPr="005D314B">
        <w:rPr>
          <w:rFonts w:asciiTheme="minorHAnsi" w:eastAsiaTheme="minorHAnsi" w:hAnsiTheme="minorHAnsi" w:cstheme="minorBidi"/>
          <w:sz w:val="20"/>
        </w:rPr>
        <w:t xml:space="preserve">Procurement Reform (Scotland) Act 2014 </w:t>
      </w:r>
      <w:r>
        <w:rPr>
          <w:rFonts w:asciiTheme="minorHAnsi" w:eastAsiaTheme="minorHAnsi" w:hAnsiTheme="minorHAnsi" w:cstheme="minorBidi"/>
          <w:sz w:val="20"/>
        </w:rPr>
        <w:t>- thresholds</w:t>
      </w:r>
    </w:p>
    <w:p w14:paraId="6A37543F" w14:textId="6FD55BFD" w:rsidR="005D314B" w:rsidRDefault="00246C0B" w:rsidP="005D314B">
      <w:pPr>
        <w:spacing w:after="160" w:line="259" w:lineRule="auto"/>
        <w:ind w:left="851"/>
        <w:contextualSpacing/>
        <w:jc w:val="both"/>
        <w:rPr>
          <w:rFonts w:asciiTheme="minorHAnsi" w:eastAsiaTheme="minorHAnsi" w:hAnsiTheme="minorHAnsi" w:cstheme="minorBidi"/>
          <w:sz w:val="20"/>
        </w:rPr>
      </w:pPr>
      <w:hyperlink r:id="rId13" w:history="1">
        <w:r w:rsidR="005D314B" w:rsidRPr="0061444D">
          <w:rPr>
            <w:rStyle w:val="Hyperlink"/>
            <w:rFonts w:asciiTheme="minorHAnsi" w:eastAsiaTheme="minorHAnsi" w:hAnsiTheme="minorHAnsi" w:cstheme="minorBidi"/>
            <w:sz w:val="20"/>
          </w:rPr>
          <w:t>https://www.legislation.gov.uk/asp/2014/12/part/1/crossheading/regulated-contracts</w:t>
        </w:r>
      </w:hyperlink>
    </w:p>
    <w:p w14:paraId="4394102B" w14:textId="316EDE19" w:rsidR="006228B5" w:rsidRPr="006228B5" w:rsidRDefault="006228B5" w:rsidP="006228B5">
      <w:pPr>
        <w:numPr>
          <w:ilvl w:val="1"/>
          <w:numId w:val="24"/>
        </w:numPr>
        <w:spacing w:after="160" w:line="259" w:lineRule="auto"/>
        <w:ind w:left="851" w:hanging="567"/>
        <w:contextualSpacing/>
        <w:jc w:val="both"/>
        <w:rPr>
          <w:rFonts w:asciiTheme="minorHAnsi" w:eastAsiaTheme="minorHAnsi" w:hAnsiTheme="minorHAnsi" w:cstheme="minorBidi"/>
          <w:sz w:val="20"/>
        </w:rPr>
      </w:pPr>
      <w:r w:rsidRPr="006228B5">
        <w:rPr>
          <w:rFonts w:asciiTheme="minorHAnsi" w:eastAsiaTheme="minorHAnsi" w:hAnsiTheme="minorHAnsi" w:cstheme="minorBidi"/>
          <w:sz w:val="20"/>
        </w:rPr>
        <w:t xml:space="preserve">APUC Ltd – Advanced Procurement for Universities and Colleges which is the Scottish Government centre of expertise for procurement for the sector. </w:t>
      </w:r>
      <w:hyperlink r:id="rId14" w:history="1">
        <w:r w:rsidRPr="006228B5">
          <w:rPr>
            <w:rFonts w:asciiTheme="minorHAnsi" w:eastAsiaTheme="minorHAnsi" w:hAnsiTheme="minorHAnsi" w:cstheme="minorBidi"/>
            <w:color w:val="0563C1" w:themeColor="hyperlink"/>
            <w:sz w:val="20"/>
            <w:u w:val="single"/>
          </w:rPr>
          <w:t>http://www.apuc-scot.ac.uk/</w:t>
        </w:r>
      </w:hyperlink>
    </w:p>
    <w:p w14:paraId="223D2CFF" w14:textId="77777777" w:rsidR="006228B5" w:rsidRPr="006228B5" w:rsidRDefault="006228B5" w:rsidP="006228B5">
      <w:pPr>
        <w:numPr>
          <w:ilvl w:val="1"/>
          <w:numId w:val="24"/>
        </w:numPr>
        <w:spacing w:after="160" w:line="259" w:lineRule="auto"/>
        <w:ind w:left="851" w:hanging="567"/>
        <w:contextualSpacing/>
        <w:jc w:val="both"/>
        <w:rPr>
          <w:rFonts w:asciiTheme="minorHAnsi" w:eastAsiaTheme="minorHAnsi" w:hAnsiTheme="minorHAnsi" w:cstheme="minorBidi"/>
          <w:sz w:val="20"/>
        </w:rPr>
      </w:pPr>
      <w:r w:rsidRPr="006228B5">
        <w:rPr>
          <w:rFonts w:asciiTheme="minorHAnsi" w:eastAsiaTheme="minorHAnsi" w:hAnsiTheme="minorHAnsi" w:cstheme="minorBidi"/>
          <w:sz w:val="20"/>
        </w:rPr>
        <w:t xml:space="preserve">PCS – Public Contracts Scotland – The Scottish Government’s official national portal for advertising public sector contract opportunities. </w:t>
      </w:r>
      <w:hyperlink r:id="rId15" w:history="1">
        <w:r w:rsidRPr="006228B5">
          <w:rPr>
            <w:rFonts w:asciiTheme="minorHAnsi" w:eastAsiaTheme="minorHAnsi" w:hAnsiTheme="minorHAnsi" w:cstheme="minorBidi"/>
            <w:color w:val="0563C1" w:themeColor="hyperlink"/>
            <w:sz w:val="20"/>
            <w:u w:val="single"/>
          </w:rPr>
          <w:t>http://www.publiccontractsscotland.gov.uk/</w:t>
        </w:r>
      </w:hyperlink>
    </w:p>
    <w:p w14:paraId="1FF3F147" w14:textId="69B05373" w:rsidR="006228B5" w:rsidRPr="00EF6321" w:rsidRDefault="006228B5" w:rsidP="006228B5">
      <w:pPr>
        <w:numPr>
          <w:ilvl w:val="1"/>
          <w:numId w:val="24"/>
        </w:numPr>
        <w:spacing w:after="160" w:line="259" w:lineRule="auto"/>
        <w:ind w:left="851" w:hanging="567"/>
        <w:contextualSpacing/>
        <w:jc w:val="both"/>
        <w:rPr>
          <w:rFonts w:asciiTheme="minorHAnsi" w:eastAsiaTheme="minorHAnsi" w:hAnsiTheme="minorHAnsi" w:cstheme="minorBidi"/>
          <w:sz w:val="20"/>
        </w:rPr>
      </w:pPr>
      <w:r w:rsidRPr="006228B5">
        <w:rPr>
          <w:rFonts w:asciiTheme="minorHAnsi" w:eastAsiaTheme="minorHAnsi" w:hAnsiTheme="minorHAnsi" w:cstheme="minorBidi"/>
          <w:sz w:val="20"/>
        </w:rPr>
        <w:t xml:space="preserve">Scottish Government Procurement Journey – Guidance and Templates issued to assist Procurement/Tendering processes - </w:t>
      </w:r>
      <w:hyperlink r:id="rId16" w:history="1">
        <w:r w:rsidRPr="006228B5">
          <w:rPr>
            <w:rFonts w:asciiTheme="minorHAnsi" w:eastAsiaTheme="minorHAnsi" w:hAnsiTheme="minorHAnsi" w:cstheme="minorBidi"/>
            <w:color w:val="0563C1" w:themeColor="hyperlink"/>
            <w:sz w:val="20"/>
            <w:u w:val="single"/>
          </w:rPr>
          <w:t>https://www.procurementjourney.scot/procurement-journey</w:t>
        </w:r>
      </w:hyperlink>
    </w:p>
    <w:p w14:paraId="2C7E52B9" w14:textId="41DDC60B" w:rsidR="005D314B" w:rsidRPr="005D314B" w:rsidRDefault="005D314B" w:rsidP="006228B5">
      <w:pPr>
        <w:numPr>
          <w:ilvl w:val="1"/>
          <w:numId w:val="24"/>
        </w:numPr>
        <w:spacing w:after="160" w:line="259" w:lineRule="auto"/>
        <w:ind w:left="851" w:hanging="567"/>
        <w:contextualSpacing/>
        <w:jc w:val="both"/>
        <w:rPr>
          <w:rStyle w:val="Hyperlink"/>
          <w:rFonts w:asciiTheme="minorHAnsi" w:eastAsiaTheme="minorHAnsi" w:hAnsiTheme="minorHAnsi" w:cstheme="minorBidi"/>
          <w:sz w:val="20"/>
        </w:rPr>
      </w:pPr>
      <w:r>
        <w:rPr>
          <w:rFonts w:asciiTheme="minorHAnsi" w:eastAsiaTheme="minorHAnsi" w:hAnsiTheme="minorHAnsi" w:cstheme="minorBidi"/>
          <w:sz w:val="20"/>
        </w:rPr>
        <w:t xml:space="preserve">Find a Tender Service (this has replaced </w:t>
      </w:r>
      <w:r w:rsidRPr="005D314B">
        <w:rPr>
          <w:rFonts w:asciiTheme="minorHAnsi" w:eastAsiaTheme="minorHAnsi" w:hAnsiTheme="minorHAnsi" w:cstheme="minorBidi"/>
          <w:sz w:val="20"/>
        </w:rPr>
        <w:t xml:space="preserve">EU’s </w:t>
      </w:r>
      <w:hyperlink r:id="rId17" w:history="1">
        <w:r w:rsidRPr="005D314B">
          <w:rPr>
            <w:rStyle w:val="Hyperlink"/>
            <w:rFonts w:asciiTheme="minorHAnsi" w:eastAsiaTheme="minorHAnsi" w:hAnsiTheme="minorHAnsi" w:cstheme="minorBidi"/>
            <w:sz w:val="20"/>
          </w:rPr>
          <w:t>Tenders Electronic Daily</w:t>
        </w:r>
      </w:hyperlink>
      <w:r w:rsidRPr="005D314B">
        <w:rPr>
          <w:rFonts w:asciiTheme="minorHAnsi" w:eastAsiaTheme="minorHAnsi" w:hAnsiTheme="minorHAnsi" w:cstheme="minorBidi"/>
          <w:sz w:val="20"/>
        </w:rPr>
        <w:t xml:space="preserve"> from 1 January 2021 for high value contracts in the UK</w:t>
      </w:r>
      <w:r>
        <w:rPr>
          <w:rFonts w:asciiTheme="minorHAnsi" w:eastAsiaTheme="minorHAnsi" w:hAnsiTheme="minorHAnsi" w:cstheme="minorBidi"/>
          <w:sz w:val="20"/>
        </w:rPr>
        <w:t xml:space="preserve"> - </w:t>
      </w:r>
      <w:r>
        <w:rPr>
          <w:rFonts w:asciiTheme="minorHAnsi" w:eastAsiaTheme="minorHAnsi" w:hAnsiTheme="minorHAnsi" w:cstheme="minorBidi"/>
          <w:sz w:val="20"/>
        </w:rPr>
        <w:fldChar w:fldCharType="begin"/>
      </w:r>
      <w:r>
        <w:rPr>
          <w:rFonts w:asciiTheme="minorHAnsi" w:eastAsiaTheme="minorHAnsi" w:hAnsiTheme="minorHAnsi" w:cstheme="minorBidi"/>
          <w:sz w:val="20"/>
        </w:rPr>
        <w:instrText xml:space="preserve"> HYPERLINK "https://www.gov.uk/find-tender" </w:instrText>
      </w:r>
      <w:r>
        <w:rPr>
          <w:rFonts w:asciiTheme="minorHAnsi" w:eastAsiaTheme="minorHAnsi" w:hAnsiTheme="minorHAnsi" w:cstheme="minorBidi"/>
          <w:sz w:val="20"/>
        </w:rPr>
        <w:fldChar w:fldCharType="separate"/>
      </w:r>
      <w:r w:rsidRPr="005D314B">
        <w:rPr>
          <w:rStyle w:val="Hyperlink"/>
          <w:rFonts w:asciiTheme="minorHAnsi" w:eastAsiaTheme="minorHAnsi" w:hAnsiTheme="minorHAnsi" w:cstheme="minorBidi"/>
          <w:sz w:val="20"/>
        </w:rPr>
        <w:t>https://www.gov.uk/find-tender</w:t>
      </w:r>
    </w:p>
    <w:p w14:paraId="73091087" w14:textId="26A0E6C7" w:rsidR="00404C50" w:rsidRPr="00B22E7A" w:rsidRDefault="005D314B" w:rsidP="006228B5">
      <w:pPr>
        <w:ind w:firstLine="284"/>
        <w:rPr>
          <w:rFonts w:ascii="Calibri" w:hAnsi="Calibri" w:cs="Calibri"/>
          <w:sz w:val="24"/>
          <w:szCs w:val="24"/>
        </w:rPr>
      </w:pPr>
      <w:r>
        <w:rPr>
          <w:rFonts w:asciiTheme="minorHAnsi" w:eastAsiaTheme="minorHAnsi" w:hAnsiTheme="minorHAnsi" w:cstheme="minorBidi"/>
          <w:sz w:val="20"/>
        </w:rPr>
        <w:fldChar w:fldCharType="end"/>
      </w:r>
    </w:p>
    <w:p w14:paraId="3DCBF12C" w14:textId="77777777" w:rsidR="00F67BF6" w:rsidRPr="00B22E7A" w:rsidRDefault="00F67BF6" w:rsidP="00F67BF6">
      <w:pPr>
        <w:ind w:left="643"/>
        <w:rPr>
          <w:rFonts w:ascii="Calibri" w:hAnsi="Calibri" w:cs="Calibri"/>
          <w:sz w:val="24"/>
          <w:szCs w:val="24"/>
        </w:rPr>
      </w:pPr>
    </w:p>
    <w:p w14:paraId="53EFEEA3" w14:textId="77777777" w:rsidR="007C7754" w:rsidRPr="005A6126" w:rsidRDefault="007C7754" w:rsidP="00161DAB">
      <w:pPr>
        <w:pStyle w:val="ListParagraph"/>
        <w:ind w:left="420"/>
        <w:jc w:val="both"/>
        <w:rPr>
          <w:rFonts w:ascii="Calibri" w:hAnsi="Calibri"/>
        </w:rPr>
      </w:pPr>
    </w:p>
    <w:p w14:paraId="36A2D242" w14:textId="77777777" w:rsidR="00161DAB" w:rsidRPr="005A6126" w:rsidRDefault="00161DAB" w:rsidP="009C78D6">
      <w:pPr>
        <w:pStyle w:val="ListParagraph"/>
        <w:jc w:val="both"/>
        <w:rPr>
          <w:rFonts w:ascii="Calibri" w:hAnsi="Calibri"/>
        </w:rPr>
      </w:pPr>
    </w:p>
    <w:p w14:paraId="1F690F29" w14:textId="77777777" w:rsidR="00363F46" w:rsidRPr="00B22E7A" w:rsidRDefault="00363F46">
      <w:pPr>
        <w:pStyle w:val="BodyText"/>
        <w:rPr>
          <w:rFonts w:ascii="Calibri" w:hAnsi="Calibri" w:cs="Calibri"/>
          <w:sz w:val="24"/>
          <w:szCs w:val="24"/>
        </w:rPr>
      </w:pPr>
    </w:p>
    <w:p w14:paraId="1C7761ED" w14:textId="77777777" w:rsidR="00363F46" w:rsidRPr="00B22E7A" w:rsidRDefault="00363F46">
      <w:pPr>
        <w:pStyle w:val="BodyText"/>
        <w:rPr>
          <w:rFonts w:ascii="Calibri" w:hAnsi="Calibri" w:cs="Calibri"/>
          <w:sz w:val="24"/>
          <w:szCs w:val="24"/>
        </w:rPr>
      </w:pPr>
    </w:p>
    <w:p w14:paraId="2AF48642" w14:textId="77777777" w:rsidR="00363F46" w:rsidRPr="00B22E7A" w:rsidRDefault="00363F46">
      <w:pPr>
        <w:pStyle w:val="BodyText"/>
        <w:rPr>
          <w:rFonts w:ascii="Calibri" w:hAnsi="Calibri" w:cs="Calibri"/>
          <w:sz w:val="24"/>
          <w:szCs w:val="24"/>
        </w:rPr>
      </w:pPr>
    </w:p>
    <w:p w14:paraId="01CF5E8F" w14:textId="77777777" w:rsidR="00363F46" w:rsidRPr="00B22E7A" w:rsidRDefault="00363F46">
      <w:pPr>
        <w:pStyle w:val="BodyText"/>
        <w:rPr>
          <w:rFonts w:ascii="Calibri" w:hAnsi="Calibri" w:cs="Calibri"/>
          <w:sz w:val="24"/>
          <w:szCs w:val="24"/>
        </w:rPr>
      </w:pPr>
    </w:p>
    <w:p w14:paraId="0B6B397E" w14:textId="77777777" w:rsidR="00363F46" w:rsidRPr="00B22E7A" w:rsidRDefault="00363F46">
      <w:pPr>
        <w:pStyle w:val="BodyText"/>
        <w:rPr>
          <w:rFonts w:ascii="Calibri" w:hAnsi="Calibri" w:cs="Calibri"/>
          <w:sz w:val="24"/>
          <w:szCs w:val="24"/>
        </w:rPr>
      </w:pPr>
    </w:p>
    <w:p w14:paraId="2B894A54" w14:textId="77777777" w:rsidR="00363F46" w:rsidRPr="00B22E7A" w:rsidRDefault="00363F46">
      <w:pPr>
        <w:pStyle w:val="BodyText"/>
        <w:rPr>
          <w:rFonts w:ascii="Calibri" w:hAnsi="Calibri" w:cs="Calibri"/>
          <w:sz w:val="24"/>
          <w:szCs w:val="24"/>
        </w:rPr>
      </w:pPr>
    </w:p>
    <w:p w14:paraId="4CF541C9" w14:textId="77777777" w:rsidR="00363F46" w:rsidRPr="00B22E7A" w:rsidRDefault="00363F46">
      <w:pPr>
        <w:pStyle w:val="BodyText"/>
        <w:rPr>
          <w:rFonts w:ascii="Calibri" w:hAnsi="Calibri" w:cs="Calibri"/>
          <w:sz w:val="24"/>
          <w:szCs w:val="24"/>
        </w:rPr>
      </w:pPr>
    </w:p>
    <w:p w14:paraId="77E99F55" w14:textId="77777777" w:rsidR="00363F46" w:rsidRPr="00B22E7A" w:rsidRDefault="00363F46">
      <w:pPr>
        <w:pStyle w:val="BodyText"/>
        <w:rPr>
          <w:rFonts w:ascii="Calibri" w:hAnsi="Calibri" w:cs="Calibri"/>
          <w:sz w:val="24"/>
          <w:szCs w:val="24"/>
        </w:rPr>
      </w:pPr>
    </w:p>
    <w:p w14:paraId="58928A32" w14:textId="77777777" w:rsidR="00363F46" w:rsidRPr="00B22E7A" w:rsidRDefault="00363F46">
      <w:pPr>
        <w:pStyle w:val="BodyText"/>
        <w:rPr>
          <w:rFonts w:ascii="Calibri" w:hAnsi="Calibri" w:cs="Calibri"/>
          <w:sz w:val="24"/>
          <w:szCs w:val="24"/>
        </w:rPr>
      </w:pPr>
    </w:p>
    <w:p w14:paraId="08CC85FF" w14:textId="77777777" w:rsidR="00363F46" w:rsidRPr="00B22E7A" w:rsidRDefault="00363F46">
      <w:pPr>
        <w:pStyle w:val="BodyText"/>
        <w:rPr>
          <w:rFonts w:ascii="Calibri" w:hAnsi="Calibri" w:cs="Calibri"/>
          <w:sz w:val="24"/>
          <w:szCs w:val="24"/>
        </w:rPr>
      </w:pPr>
    </w:p>
    <w:p w14:paraId="293D3558" w14:textId="77777777" w:rsidR="00363F46" w:rsidRPr="00B22E7A" w:rsidRDefault="00363F46">
      <w:pPr>
        <w:pStyle w:val="BodyText"/>
        <w:rPr>
          <w:rFonts w:ascii="Calibri" w:hAnsi="Calibri" w:cs="Calibri"/>
          <w:sz w:val="24"/>
          <w:szCs w:val="24"/>
        </w:rPr>
      </w:pPr>
    </w:p>
    <w:p w14:paraId="444946E9" w14:textId="77777777" w:rsidR="006228B5" w:rsidRDefault="006228B5">
      <w:pPr>
        <w:pStyle w:val="BodyText"/>
        <w:rPr>
          <w:rFonts w:ascii="Calibri" w:hAnsi="Calibri" w:cs="Calibri"/>
          <w:b/>
          <w:szCs w:val="22"/>
        </w:rPr>
      </w:pPr>
    </w:p>
    <w:p w14:paraId="4A322299" w14:textId="77777777" w:rsidR="00363F46" w:rsidRPr="00E30E68" w:rsidRDefault="00EE0ED9">
      <w:pPr>
        <w:pStyle w:val="BodyText"/>
        <w:rPr>
          <w:rFonts w:ascii="Calibri" w:hAnsi="Calibri" w:cs="Calibri"/>
          <w:b/>
          <w:szCs w:val="22"/>
        </w:rPr>
      </w:pPr>
      <w:r w:rsidRPr="00E30E68">
        <w:rPr>
          <w:rFonts w:ascii="Calibri" w:hAnsi="Calibri" w:cs="Calibri"/>
          <w:b/>
          <w:szCs w:val="22"/>
        </w:rPr>
        <w:t>Version Control</w:t>
      </w:r>
    </w:p>
    <w:p w14:paraId="00662C24" w14:textId="77777777" w:rsidR="00E2157E" w:rsidRPr="00E30E68" w:rsidRDefault="00E2157E">
      <w:pPr>
        <w:pStyle w:val="BodyText"/>
        <w:rPr>
          <w:rFonts w:ascii="Calibri" w:hAnsi="Calibri" w:cs="Calibri"/>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646"/>
        <w:gridCol w:w="5718"/>
      </w:tblGrid>
      <w:tr w:rsidR="00EE0ED9" w:rsidRPr="006228B5" w14:paraId="44A840CE" w14:textId="77777777" w:rsidTr="0D4B5227">
        <w:tc>
          <w:tcPr>
            <w:tcW w:w="958" w:type="dxa"/>
          </w:tcPr>
          <w:p w14:paraId="6AB80B69" w14:textId="77777777" w:rsidR="00EE0ED9" w:rsidRPr="006228B5" w:rsidRDefault="00EE0ED9" w:rsidP="00571AF5">
            <w:pPr>
              <w:pStyle w:val="BodyText"/>
              <w:jc w:val="center"/>
              <w:rPr>
                <w:rFonts w:ascii="Calibri" w:hAnsi="Calibri" w:cs="Calibri"/>
                <w:b/>
                <w:sz w:val="20"/>
              </w:rPr>
            </w:pPr>
            <w:r w:rsidRPr="006228B5">
              <w:rPr>
                <w:rFonts w:ascii="Calibri" w:hAnsi="Calibri" w:cs="Calibri"/>
                <w:b/>
                <w:sz w:val="20"/>
              </w:rPr>
              <w:t>Version</w:t>
            </w:r>
          </w:p>
        </w:tc>
        <w:tc>
          <w:tcPr>
            <w:tcW w:w="2646" w:type="dxa"/>
            <w:shd w:val="clear" w:color="auto" w:fill="auto"/>
          </w:tcPr>
          <w:p w14:paraId="319AAD0A" w14:textId="77777777" w:rsidR="00EE0ED9" w:rsidRPr="006228B5" w:rsidRDefault="00EE0ED9" w:rsidP="00571AF5">
            <w:pPr>
              <w:pStyle w:val="BodyText"/>
              <w:jc w:val="center"/>
              <w:rPr>
                <w:rFonts w:ascii="Calibri" w:hAnsi="Calibri" w:cs="Calibri"/>
                <w:b/>
                <w:sz w:val="20"/>
              </w:rPr>
            </w:pPr>
            <w:r w:rsidRPr="006228B5">
              <w:rPr>
                <w:rFonts w:ascii="Calibri" w:hAnsi="Calibri" w:cs="Calibri"/>
                <w:b/>
                <w:sz w:val="20"/>
              </w:rPr>
              <w:t>Version date</w:t>
            </w:r>
          </w:p>
        </w:tc>
        <w:tc>
          <w:tcPr>
            <w:tcW w:w="5718" w:type="dxa"/>
            <w:shd w:val="clear" w:color="auto" w:fill="auto"/>
          </w:tcPr>
          <w:p w14:paraId="15ED1E18" w14:textId="77777777" w:rsidR="00EE0ED9" w:rsidRPr="006228B5" w:rsidRDefault="00EE0ED9" w:rsidP="00EE0ED9">
            <w:pPr>
              <w:pStyle w:val="BodyText"/>
              <w:jc w:val="left"/>
              <w:rPr>
                <w:rFonts w:ascii="Calibri" w:hAnsi="Calibri" w:cs="Calibri"/>
                <w:b/>
                <w:sz w:val="20"/>
              </w:rPr>
            </w:pPr>
            <w:r w:rsidRPr="006228B5">
              <w:rPr>
                <w:rFonts w:ascii="Calibri" w:hAnsi="Calibri" w:cs="Calibri"/>
                <w:b/>
                <w:sz w:val="20"/>
              </w:rPr>
              <w:t>Sections updated</w:t>
            </w:r>
          </w:p>
        </w:tc>
      </w:tr>
      <w:tr w:rsidR="00EE0ED9" w:rsidRPr="006228B5" w14:paraId="759B7478" w14:textId="77777777" w:rsidTr="0D4B5227">
        <w:tc>
          <w:tcPr>
            <w:tcW w:w="958" w:type="dxa"/>
          </w:tcPr>
          <w:p w14:paraId="05CB009F" w14:textId="77777777" w:rsidR="00EE0ED9" w:rsidRPr="006228B5" w:rsidRDefault="00EE0ED9" w:rsidP="00571AF5">
            <w:pPr>
              <w:pStyle w:val="BodyText"/>
              <w:jc w:val="center"/>
              <w:rPr>
                <w:rFonts w:ascii="Calibri" w:hAnsi="Calibri" w:cs="Calibri"/>
                <w:sz w:val="20"/>
              </w:rPr>
            </w:pPr>
            <w:r w:rsidRPr="006228B5">
              <w:rPr>
                <w:rFonts w:ascii="Calibri" w:hAnsi="Calibri" w:cs="Calibri"/>
                <w:sz w:val="20"/>
              </w:rPr>
              <w:t>V1</w:t>
            </w:r>
          </w:p>
        </w:tc>
        <w:tc>
          <w:tcPr>
            <w:tcW w:w="2646" w:type="dxa"/>
            <w:shd w:val="clear" w:color="auto" w:fill="auto"/>
          </w:tcPr>
          <w:p w14:paraId="57E388CF" w14:textId="77777777" w:rsidR="00EE0ED9" w:rsidRPr="006228B5" w:rsidRDefault="00EE0ED9" w:rsidP="00571AF5">
            <w:pPr>
              <w:pStyle w:val="BodyText"/>
              <w:jc w:val="center"/>
              <w:rPr>
                <w:rFonts w:ascii="Calibri" w:hAnsi="Calibri" w:cs="Calibri"/>
                <w:sz w:val="20"/>
              </w:rPr>
            </w:pPr>
            <w:r w:rsidRPr="006228B5">
              <w:rPr>
                <w:rFonts w:ascii="Calibri" w:hAnsi="Calibri" w:cs="Calibri"/>
                <w:sz w:val="20"/>
              </w:rPr>
              <w:t>April 1999</w:t>
            </w:r>
          </w:p>
        </w:tc>
        <w:tc>
          <w:tcPr>
            <w:tcW w:w="5718" w:type="dxa"/>
            <w:shd w:val="clear" w:color="auto" w:fill="auto"/>
          </w:tcPr>
          <w:p w14:paraId="4F045E1E" w14:textId="77777777" w:rsidR="00EE0ED9" w:rsidRPr="006228B5" w:rsidRDefault="00EE0ED9" w:rsidP="00EE0ED9">
            <w:pPr>
              <w:pStyle w:val="BodyText"/>
              <w:jc w:val="left"/>
              <w:rPr>
                <w:rFonts w:ascii="Calibri" w:hAnsi="Calibri" w:cs="Calibri"/>
                <w:sz w:val="20"/>
              </w:rPr>
            </w:pPr>
            <w:r w:rsidRPr="006228B5">
              <w:rPr>
                <w:rFonts w:ascii="Calibri" w:hAnsi="Calibri" w:cs="Calibri"/>
                <w:sz w:val="20"/>
              </w:rPr>
              <w:t>Original version of document</w:t>
            </w:r>
          </w:p>
        </w:tc>
      </w:tr>
      <w:tr w:rsidR="00EE0ED9" w:rsidRPr="006228B5" w14:paraId="556B97FF" w14:textId="77777777" w:rsidTr="0D4B5227">
        <w:tc>
          <w:tcPr>
            <w:tcW w:w="958" w:type="dxa"/>
          </w:tcPr>
          <w:p w14:paraId="67D01C0C" w14:textId="77777777" w:rsidR="00EE0ED9" w:rsidRPr="006228B5" w:rsidRDefault="00EE0ED9" w:rsidP="00571AF5">
            <w:pPr>
              <w:pStyle w:val="BodyText"/>
              <w:jc w:val="center"/>
              <w:rPr>
                <w:rFonts w:ascii="Calibri" w:hAnsi="Calibri" w:cs="Calibri"/>
                <w:sz w:val="20"/>
              </w:rPr>
            </w:pPr>
            <w:r w:rsidRPr="006228B5">
              <w:rPr>
                <w:rFonts w:ascii="Calibri" w:hAnsi="Calibri" w:cs="Calibri"/>
                <w:sz w:val="20"/>
              </w:rPr>
              <w:t>V2</w:t>
            </w:r>
          </w:p>
        </w:tc>
        <w:tc>
          <w:tcPr>
            <w:tcW w:w="2646" w:type="dxa"/>
            <w:shd w:val="clear" w:color="auto" w:fill="auto"/>
          </w:tcPr>
          <w:p w14:paraId="35D0ED53" w14:textId="77777777" w:rsidR="00EE0ED9" w:rsidRPr="006228B5" w:rsidRDefault="00EE0ED9" w:rsidP="00571AF5">
            <w:pPr>
              <w:pStyle w:val="BodyText"/>
              <w:jc w:val="center"/>
              <w:rPr>
                <w:rFonts w:ascii="Calibri" w:hAnsi="Calibri" w:cs="Calibri"/>
                <w:sz w:val="20"/>
              </w:rPr>
            </w:pPr>
            <w:r w:rsidRPr="006228B5">
              <w:rPr>
                <w:rFonts w:ascii="Calibri" w:hAnsi="Calibri" w:cs="Calibri"/>
                <w:sz w:val="20"/>
              </w:rPr>
              <w:t>January 2014</w:t>
            </w:r>
          </w:p>
        </w:tc>
        <w:tc>
          <w:tcPr>
            <w:tcW w:w="5718" w:type="dxa"/>
            <w:shd w:val="clear" w:color="auto" w:fill="auto"/>
          </w:tcPr>
          <w:p w14:paraId="2B2D5163" w14:textId="77777777" w:rsidR="00EE0ED9" w:rsidRPr="006228B5" w:rsidRDefault="00EE0ED9" w:rsidP="00EE0ED9">
            <w:pPr>
              <w:rPr>
                <w:rFonts w:ascii="Calibri" w:hAnsi="Calibri"/>
                <w:bCs/>
                <w:sz w:val="20"/>
              </w:rPr>
            </w:pPr>
            <w:r w:rsidRPr="006228B5">
              <w:rPr>
                <w:rFonts w:ascii="Calibri" w:hAnsi="Calibri"/>
                <w:bCs/>
                <w:sz w:val="20"/>
              </w:rPr>
              <w:t>Section 3 - amendment to the Supplementary EC Procurement Rules thresholds for Supplies and Works, in line with recently published revised limits.  </w:t>
            </w:r>
          </w:p>
          <w:p w14:paraId="0497FA57" w14:textId="77777777" w:rsidR="00EE0ED9" w:rsidRPr="006228B5" w:rsidRDefault="00EE0ED9" w:rsidP="00EE0ED9">
            <w:pPr>
              <w:pStyle w:val="BodyText"/>
              <w:jc w:val="left"/>
              <w:rPr>
                <w:rFonts w:ascii="Calibri" w:hAnsi="Calibri" w:cs="Calibri"/>
                <w:sz w:val="20"/>
              </w:rPr>
            </w:pPr>
          </w:p>
        </w:tc>
      </w:tr>
      <w:tr w:rsidR="005133AA" w:rsidRPr="006228B5" w14:paraId="3029236B" w14:textId="77777777" w:rsidTr="0D4B5227">
        <w:tc>
          <w:tcPr>
            <w:tcW w:w="958" w:type="dxa"/>
          </w:tcPr>
          <w:p w14:paraId="1BB2FAEA" w14:textId="77777777" w:rsidR="005133AA" w:rsidRPr="006228B5" w:rsidRDefault="005133AA" w:rsidP="00571AF5">
            <w:pPr>
              <w:pStyle w:val="BodyText"/>
              <w:jc w:val="center"/>
              <w:rPr>
                <w:rFonts w:ascii="Calibri" w:hAnsi="Calibri" w:cs="Calibri"/>
                <w:sz w:val="20"/>
              </w:rPr>
            </w:pPr>
            <w:r w:rsidRPr="006228B5">
              <w:rPr>
                <w:rFonts w:ascii="Calibri" w:hAnsi="Calibri" w:cs="Calibri"/>
                <w:sz w:val="20"/>
              </w:rPr>
              <w:t>V3</w:t>
            </w:r>
          </w:p>
        </w:tc>
        <w:tc>
          <w:tcPr>
            <w:tcW w:w="2646" w:type="dxa"/>
            <w:shd w:val="clear" w:color="auto" w:fill="auto"/>
          </w:tcPr>
          <w:p w14:paraId="3C509E5A" w14:textId="77777777" w:rsidR="005133AA" w:rsidRPr="006228B5" w:rsidRDefault="005133AA" w:rsidP="00571AF5">
            <w:pPr>
              <w:pStyle w:val="BodyText"/>
              <w:jc w:val="center"/>
              <w:rPr>
                <w:rFonts w:ascii="Calibri" w:hAnsi="Calibri" w:cs="Calibri"/>
                <w:sz w:val="20"/>
              </w:rPr>
            </w:pPr>
            <w:r w:rsidRPr="006228B5">
              <w:rPr>
                <w:rFonts w:ascii="Calibri" w:hAnsi="Calibri" w:cs="Calibri"/>
                <w:sz w:val="20"/>
              </w:rPr>
              <w:t>July 2015</w:t>
            </w:r>
          </w:p>
        </w:tc>
        <w:tc>
          <w:tcPr>
            <w:tcW w:w="5718" w:type="dxa"/>
            <w:shd w:val="clear" w:color="auto" w:fill="auto"/>
          </w:tcPr>
          <w:p w14:paraId="7BD7B723" w14:textId="77777777" w:rsidR="00D97DDF" w:rsidRPr="006228B5" w:rsidRDefault="00D97DDF" w:rsidP="00D97DDF">
            <w:pPr>
              <w:numPr>
                <w:ilvl w:val="0"/>
                <w:numId w:val="15"/>
              </w:numPr>
              <w:ind w:left="352" w:hanging="352"/>
              <w:rPr>
                <w:rFonts w:ascii="Calibri" w:hAnsi="Calibri"/>
                <w:bCs/>
                <w:sz w:val="20"/>
              </w:rPr>
            </w:pPr>
            <w:r w:rsidRPr="006228B5">
              <w:rPr>
                <w:rFonts w:ascii="Calibri" w:hAnsi="Calibri"/>
                <w:bCs/>
                <w:sz w:val="20"/>
              </w:rPr>
              <w:t>Split of document into Tendering Policy and Tendering Procedures.</w:t>
            </w:r>
          </w:p>
          <w:p w14:paraId="1D99AEC1" w14:textId="77777777" w:rsidR="005133AA" w:rsidRPr="006228B5" w:rsidRDefault="005133AA" w:rsidP="00B66BAF">
            <w:pPr>
              <w:numPr>
                <w:ilvl w:val="0"/>
                <w:numId w:val="15"/>
              </w:numPr>
              <w:ind w:left="352" w:hanging="352"/>
              <w:rPr>
                <w:rFonts w:ascii="Calibri" w:hAnsi="Calibri"/>
                <w:bCs/>
                <w:sz w:val="20"/>
              </w:rPr>
            </w:pPr>
            <w:r w:rsidRPr="006228B5">
              <w:rPr>
                <w:rFonts w:ascii="Calibri" w:hAnsi="Calibri"/>
                <w:bCs/>
                <w:sz w:val="20"/>
              </w:rPr>
              <w:t xml:space="preserve">Throughout document - remove reference to </w:t>
            </w:r>
            <w:r w:rsidR="00875BA3" w:rsidRPr="006228B5">
              <w:rPr>
                <w:rFonts w:ascii="Calibri" w:hAnsi="Calibri"/>
                <w:bCs/>
                <w:sz w:val="20"/>
              </w:rPr>
              <w:t>Senior Executive Team</w:t>
            </w:r>
            <w:r w:rsidRPr="006228B5">
              <w:rPr>
                <w:rFonts w:ascii="Calibri" w:hAnsi="Calibri"/>
                <w:bCs/>
                <w:sz w:val="20"/>
              </w:rPr>
              <w:t xml:space="preserve"> (Motherwell College legacy) and replace with Senior Management team.</w:t>
            </w:r>
          </w:p>
          <w:p w14:paraId="2BD1F177" w14:textId="77777777" w:rsidR="005133AA" w:rsidRPr="006228B5" w:rsidRDefault="005133AA" w:rsidP="00D97DDF">
            <w:pPr>
              <w:ind w:left="352"/>
              <w:rPr>
                <w:rFonts w:ascii="Calibri" w:hAnsi="Calibri"/>
                <w:bCs/>
                <w:sz w:val="20"/>
              </w:rPr>
            </w:pPr>
          </w:p>
        </w:tc>
      </w:tr>
      <w:tr w:rsidR="006228B5" w:rsidRPr="006228B5" w14:paraId="6575CA5A" w14:textId="77777777" w:rsidTr="0D4B5227">
        <w:tc>
          <w:tcPr>
            <w:tcW w:w="958" w:type="dxa"/>
          </w:tcPr>
          <w:p w14:paraId="35409AC3" w14:textId="77777777" w:rsidR="006228B5" w:rsidRPr="006228B5" w:rsidRDefault="006228B5" w:rsidP="00571AF5">
            <w:pPr>
              <w:pStyle w:val="BodyText"/>
              <w:jc w:val="center"/>
              <w:rPr>
                <w:rFonts w:ascii="Calibri" w:hAnsi="Calibri" w:cs="Calibri"/>
                <w:sz w:val="20"/>
              </w:rPr>
            </w:pPr>
            <w:r w:rsidRPr="006228B5">
              <w:rPr>
                <w:rFonts w:ascii="Calibri" w:hAnsi="Calibri" w:cs="Calibri"/>
                <w:sz w:val="20"/>
              </w:rPr>
              <w:t>V4</w:t>
            </w:r>
          </w:p>
        </w:tc>
        <w:tc>
          <w:tcPr>
            <w:tcW w:w="2646" w:type="dxa"/>
            <w:shd w:val="clear" w:color="auto" w:fill="auto"/>
          </w:tcPr>
          <w:p w14:paraId="0A7DEAFB" w14:textId="77777777" w:rsidR="006228B5" w:rsidRPr="006228B5" w:rsidRDefault="006228B5" w:rsidP="00571AF5">
            <w:pPr>
              <w:pStyle w:val="BodyText"/>
              <w:jc w:val="center"/>
              <w:rPr>
                <w:rFonts w:ascii="Calibri" w:hAnsi="Calibri" w:cs="Calibri"/>
                <w:sz w:val="20"/>
              </w:rPr>
            </w:pPr>
            <w:r w:rsidRPr="006228B5">
              <w:rPr>
                <w:rFonts w:ascii="Calibri" w:hAnsi="Calibri" w:cs="Calibri"/>
                <w:sz w:val="20"/>
              </w:rPr>
              <w:t>May 2016</w:t>
            </w:r>
          </w:p>
        </w:tc>
        <w:tc>
          <w:tcPr>
            <w:tcW w:w="5718" w:type="dxa"/>
            <w:shd w:val="clear" w:color="auto" w:fill="auto"/>
          </w:tcPr>
          <w:p w14:paraId="1BAC653E" w14:textId="77777777" w:rsidR="006228B5" w:rsidRPr="006228B5" w:rsidRDefault="006228B5" w:rsidP="00D97DDF">
            <w:pPr>
              <w:numPr>
                <w:ilvl w:val="0"/>
                <w:numId w:val="15"/>
              </w:numPr>
              <w:ind w:left="352" w:hanging="352"/>
              <w:rPr>
                <w:rFonts w:ascii="Calibri" w:hAnsi="Calibri"/>
                <w:bCs/>
                <w:sz w:val="20"/>
              </w:rPr>
            </w:pPr>
            <w:r w:rsidRPr="006228B5">
              <w:rPr>
                <w:rFonts w:ascii="Calibri" w:hAnsi="Calibri"/>
                <w:bCs/>
                <w:sz w:val="20"/>
              </w:rPr>
              <w:t>Review of Policy in accordance with new Procurement Legislation</w:t>
            </w:r>
          </w:p>
          <w:p w14:paraId="3FB4CEFE" w14:textId="77777777" w:rsidR="006228B5" w:rsidRDefault="006228B5" w:rsidP="006228B5">
            <w:pPr>
              <w:numPr>
                <w:ilvl w:val="1"/>
                <w:numId w:val="15"/>
              </w:numPr>
              <w:rPr>
                <w:rFonts w:ascii="Calibri" w:hAnsi="Calibri"/>
                <w:bCs/>
                <w:sz w:val="20"/>
              </w:rPr>
            </w:pPr>
            <w:r w:rsidRPr="006228B5">
              <w:rPr>
                <w:rFonts w:ascii="Calibri" w:hAnsi="Calibri"/>
                <w:bCs/>
                <w:sz w:val="20"/>
              </w:rPr>
              <w:t xml:space="preserve">Updated Purpose </w:t>
            </w:r>
            <w:r>
              <w:rPr>
                <w:rFonts w:ascii="Calibri" w:hAnsi="Calibri"/>
                <w:bCs/>
                <w:sz w:val="20"/>
              </w:rPr>
              <w:t xml:space="preserve">to reference correct legislation </w:t>
            </w:r>
          </w:p>
          <w:p w14:paraId="1675CD74" w14:textId="77777777" w:rsidR="006228B5" w:rsidRDefault="006228B5" w:rsidP="006228B5">
            <w:pPr>
              <w:numPr>
                <w:ilvl w:val="1"/>
                <w:numId w:val="15"/>
              </w:numPr>
              <w:rPr>
                <w:rFonts w:ascii="Calibri" w:hAnsi="Calibri"/>
                <w:bCs/>
                <w:sz w:val="20"/>
              </w:rPr>
            </w:pPr>
            <w:r>
              <w:rPr>
                <w:rFonts w:ascii="Calibri" w:hAnsi="Calibri"/>
                <w:bCs/>
                <w:sz w:val="20"/>
              </w:rPr>
              <w:t>Procurement Team Update</w:t>
            </w:r>
          </w:p>
          <w:p w14:paraId="40579330" w14:textId="77777777" w:rsidR="006228B5" w:rsidRDefault="006228B5" w:rsidP="006228B5">
            <w:pPr>
              <w:numPr>
                <w:ilvl w:val="1"/>
                <w:numId w:val="15"/>
              </w:numPr>
              <w:rPr>
                <w:rFonts w:ascii="Calibri" w:hAnsi="Calibri"/>
                <w:bCs/>
                <w:sz w:val="20"/>
              </w:rPr>
            </w:pPr>
            <w:r>
              <w:rPr>
                <w:rFonts w:ascii="Calibri" w:hAnsi="Calibri"/>
                <w:bCs/>
                <w:sz w:val="20"/>
              </w:rPr>
              <w:t>Amended the thresholds in Section 4</w:t>
            </w:r>
          </w:p>
          <w:p w14:paraId="7AB66D2E" w14:textId="77777777" w:rsidR="006228B5" w:rsidRDefault="006228B5" w:rsidP="006228B5">
            <w:pPr>
              <w:numPr>
                <w:ilvl w:val="1"/>
                <w:numId w:val="15"/>
              </w:numPr>
              <w:rPr>
                <w:rFonts w:ascii="Calibri" w:hAnsi="Calibri"/>
                <w:bCs/>
                <w:sz w:val="20"/>
              </w:rPr>
            </w:pPr>
            <w:r>
              <w:rPr>
                <w:rFonts w:ascii="Calibri" w:hAnsi="Calibri"/>
                <w:bCs/>
                <w:sz w:val="20"/>
              </w:rPr>
              <w:t>Amended the timeframe in Section 5 from 6 months to 3 months</w:t>
            </w:r>
          </w:p>
          <w:p w14:paraId="43876842" w14:textId="77777777" w:rsidR="006228B5" w:rsidRDefault="006228B5" w:rsidP="006228B5">
            <w:pPr>
              <w:numPr>
                <w:ilvl w:val="1"/>
                <w:numId w:val="15"/>
              </w:numPr>
              <w:rPr>
                <w:rFonts w:ascii="Calibri" w:hAnsi="Calibri"/>
                <w:bCs/>
                <w:sz w:val="20"/>
              </w:rPr>
            </w:pPr>
            <w:r>
              <w:rPr>
                <w:rFonts w:ascii="Calibri" w:hAnsi="Calibri"/>
                <w:bCs/>
                <w:sz w:val="20"/>
              </w:rPr>
              <w:t xml:space="preserve">Section 4 updated with reference to </w:t>
            </w:r>
            <w:r w:rsidR="005A77A0">
              <w:rPr>
                <w:rFonts w:ascii="Calibri" w:hAnsi="Calibri"/>
                <w:bCs/>
                <w:sz w:val="20"/>
              </w:rPr>
              <w:t>Supply Chain Manager</w:t>
            </w:r>
            <w:r>
              <w:rPr>
                <w:rFonts w:ascii="Calibri" w:hAnsi="Calibri"/>
                <w:bCs/>
                <w:sz w:val="20"/>
              </w:rPr>
              <w:t xml:space="preserve"> and Sole Source Justification.</w:t>
            </w:r>
          </w:p>
          <w:p w14:paraId="3CB79135" w14:textId="77777777" w:rsidR="006228B5" w:rsidRDefault="006228B5" w:rsidP="006228B5">
            <w:pPr>
              <w:numPr>
                <w:ilvl w:val="1"/>
                <w:numId w:val="15"/>
              </w:numPr>
              <w:rPr>
                <w:rFonts w:ascii="Calibri" w:hAnsi="Calibri"/>
                <w:bCs/>
                <w:sz w:val="20"/>
              </w:rPr>
            </w:pPr>
            <w:r>
              <w:rPr>
                <w:rFonts w:ascii="Calibri" w:hAnsi="Calibri"/>
                <w:bCs/>
                <w:sz w:val="20"/>
              </w:rPr>
              <w:t xml:space="preserve">Section 7 updated with reference to </w:t>
            </w:r>
            <w:r w:rsidR="005A77A0">
              <w:rPr>
                <w:rFonts w:ascii="Calibri" w:hAnsi="Calibri"/>
                <w:bCs/>
                <w:sz w:val="20"/>
              </w:rPr>
              <w:t>Supply Chain Manager</w:t>
            </w:r>
          </w:p>
          <w:p w14:paraId="694A60F0" w14:textId="77777777" w:rsidR="006228B5" w:rsidRPr="006228B5" w:rsidRDefault="006228B5" w:rsidP="006228B5">
            <w:pPr>
              <w:numPr>
                <w:ilvl w:val="1"/>
                <w:numId w:val="15"/>
              </w:numPr>
              <w:rPr>
                <w:rFonts w:ascii="Calibri" w:hAnsi="Calibri"/>
                <w:bCs/>
                <w:sz w:val="20"/>
              </w:rPr>
            </w:pPr>
            <w:r>
              <w:rPr>
                <w:rFonts w:ascii="Calibri" w:hAnsi="Calibri"/>
                <w:bCs/>
                <w:sz w:val="20"/>
              </w:rPr>
              <w:t>Section 9 updated with additional useful links</w:t>
            </w:r>
          </w:p>
        </w:tc>
      </w:tr>
      <w:tr w:rsidR="00F97FB0" w:rsidRPr="006228B5" w14:paraId="5C62E101" w14:textId="77777777" w:rsidTr="0D4B5227">
        <w:tc>
          <w:tcPr>
            <w:tcW w:w="958" w:type="dxa"/>
          </w:tcPr>
          <w:p w14:paraId="72E0BF80" w14:textId="77777777" w:rsidR="00F97FB0" w:rsidRPr="006228B5" w:rsidRDefault="00F97FB0" w:rsidP="00571AF5">
            <w:pPr>
              <w:pStyle w:val="BodyText"/>
              <w:jc w:val="center"/>
              <w:rPr>
                <w:rFonts w:ascii="Calibri" w:hAnsi="Calibri" w:cs="Calibri"/>
                <w:sz w:val="20"/>
              </w:rPr>
            </w:pPr>
            <w:r>
              <w:rPr>
                <w:rFonts w:ascii="Calibri" w:hAnsi="Calibri" w:cs="Calibri"/>
                <w:sz w:val="20"/>
              </w:rPr>
              <w:t>V5</w:t>
            </w:r>
          </w:p>
        </w:tc>
        <w:tc>
          <w:tcPr>
            <w:tcW w:w="2646" w:type="dxa"/>
            <w:shd w:val="clear" w:color="auto" w:fill="auto"/>
          </w:tcPr>
          <w:p w14:paraId="331F856A" w14:textId="77777777" w:rsidR="00F97FB0" w:rsidRPr="006228B5" w:rsidRDefault="00F97FB0" w:rsidP="00571AF5">
            <w:pPr>
              <w:pStyle w:val="BodyText"/>
              <w:jc w:val="center"/>
              <w:rPr>
                <w:rFonts w:ascii="Calibri" w:hAnsi="Calibri" w:cs="Calibri"/>
                <w:sz w:val="20"/>
              </w:rPr>
            </w:pPr>
            <w:r>
              <w:rPr>
                <w:rFonts w:ascii="Calibri" w:hAnsi="Calibri" w:cs="Calibri"/>
                <w:sz w:val="20"/>
              </w:rPr>
              <w:t>July 2017</w:t>
            </w:r>
          </w:p>
        </w:tc>
        <w:tc>
          <w:tcPr>
            <w:tcW w:w="5718" w:type="dxa"/>
            <w:shd w:val="clear" w:color="auto" w:fill="auto"/>
          </w:tcPr>
          <w:p w14:paraId="5B4E0D58" w14:textId="77777777" w:rsidR="00F97FB0" w:rsidRPr="006228B5" w:rsidRDefault="00F97FB0" w:rsidP="00D97DDF">
            <w:pPr>
              <w:numPr>
                <w:ilvl w:val="0"/>
                <w:numId w:val="15"/>
              </w:numPr>
              <w:ind w:left="352" w:hanging="352"/>
              <w:rPr>
                <w:rFonts w:ascii="Calibri" w:hAnsi="Calibri"/>
                <w:bCs/>
                <w:sz w:val="20"/>
              </w:rPr>
            </w:pPr>
            <w:r>
              <w:rPr>
                <w:rFonts w:ascii="Calibri" w:hAnsi="Calibri"/>
                <w:bCs/>
                <w:sz w:val="20"/>
              </w:rPr>
              <w:t>No Changes</w:t>
            </w:r>
          </w:p>
        </w:tc>
      </w:tr>
      <w:tr w:rsidR="00460F44" w:rsidRPr="006228B5" w14:paraId="61E9AC66" w14:textId="77777777" w:rsidTr="0D4B5227">
        <w:tc>
          <w:tcPr>
            <w:tcW w:w="958" w:type="dxa"/>
          </w:tcPr>
          <w:p w14:paraId="585EBCC0" w14:textId="77777777" w:rsidR="00460F44" w:rsidRDefault="00460F44" w:rsidP="00571AF5">
            <w:pPr>
              <w:pStyle w:val="BodyText"/>
              <w:jc w:val="center"/>
              <w:rPr>
                <w:rFonts w:ascii="Calibri" w:hAnsi="Calibri" w:cs="Calibri"/>
                <w:sz w:val="20"/>
              </w:rPr>
            </w:pPr>
            <w:r>
              <w:rPr>
                <w:rFonts w:ascii="Calibri" w:hAnsi="Calibri" w:cs="Calibri"/>
                <w:sz w:val="20"/>
              </w:rPr>
              <w:t>V6</w:t>
            </w:r>
          </w:p>
        </w:tc>
        <w:tc>
          <w:tcPr>
            <w:tcW w:w="2646" w:type="dxa"/>
            <w:shd w:val="clear" w:color="auto" w:fill="auto"/>
          </w:tcPr>
          <w:p w14:paraId="457C0657" w14:textId="77777777" w:rsidR="00460F44" w:rsidRDefault="00460F44" w:rsidP="00571AF5">
            <w:pPr>
              <w:pStyle w:val="BodyText"/>
              <w:jc w:val="center"/>
              <w:rPr>
                <w:rFonts w:ascii="Calibri" w:hAnsi="Calibri" w:cs="Calibri"/>
                <w:sz w:val="20"/>
              </w:rPr>
            </w:pPr>
            <w:r>
              <w:rPr>
                <w:rFonts w:ascii="Calibri" w:hAnsi="Calibri" w:cs="Calibri"/>
                <w:sz w:val="20"/>
              </w:rPr>
              <w:t>January 2019</w:t>
            </w:r>
          </w:p>
        </w:tc>
        <w:tc>
          <w:tcPr>
            <w:tcW w:w="5718" w:type="dxa"/>
            <w:shd w:val="clear" w:color="auto" w:fill="auto"/>
          </w:tcPr>
          <w:p w14:paraId="420C035C" w14:textId="77777777" w:rsidR="00460F44" w:rsidRDefault="00460F44" w:rsidP="00D97DDF">
            <w:pPr>
              <w:numPr>
                <w:ilvl w:val="0"/>
                <w:numId w:val="15"/>
              </w:numPr>
              <w:ind w:left="352" w:hanging="352"/>
              <w:rPr>
                <w:rFonts w:ascii="Calibri" w:hAnsi="Calibri"/>
                <w:bCs/>
                <w:sz w:val="20"/>
              </w:rPr>
            </w:pPr>
            <w:r>
              <w:rPr>
                <w:rFonts w:ascii="Calibri" w:hAnsi="Calibri"/>
                <w:bCs/>
                <w:sz w:val="20"/>
              </w:rPr>
              <w:t>Change to link to EU Thresholds – page 4</w:t>
            </w:r>
          </w:p>
        </w:tc>
      </w:tr>
      <w:tr w:rsidR="005A77A0" w:rsidRPr="006228B5" w14:paraId="01BAB123" w14:textId="77777777" w:rsidTr="0D4B5227">
        <w:tc>
          <w:tcPr>
            <w:tcW w:w="958" w:type="dxa"/>
          </w:tcPr>
          <w:p w14:paraId="5C87A5F0" w14:textId="77777777" w:rsidR="005A77A0" w:rsidRDefault="005A77A0" w:rsidP="00571AF5">
            <w:pPr>
              <w:pStyle w:val="BodyText"/>
              <w:jc w:val="center"/>
              <w:rPr>
                <w:rFonts w:ascii="Calibri" w:hAnsi="Calibri" w:cs="Calibri"/>
                <w:sz w:val="20"/>
              </w:rPr>
            </w:pPr>
            <w:r>
              <w:rPr>
                <w:rFonts w:ascii="Calibri" w:hAnsi="Calibri" w:cs="Calibri"/>
                <w:sz w:val="20"/>
              </w:rPr>
              <w:t>V7</w:t>
            </w:r>
          </w:p>
        </w:tc>
        <w:tc>
          <w:tcPr>
            <w:tcW w:w="2646" w:type="dxa"/>
            <w:shd w:val="clear" w:color="auto" w:fill="auto"/>
          </w:tcPr>
          <w:p w14:paraId="5AF5BCB5" w14:textId="77777777" w:rsidR="005A77A0" w:rsidRDefault="005A77A0" w:rsidP="00571AF5">
            <w:pPr>
              <w:pStyle w:val="BodyText"/>
              <w:jc w:val="center"/>
              <w:rPr>
                <w:rFonts w:ascii="Calibri" w:hAnsi="Calibri" w:cs="Calibri"/>
                <w:sz w:val="20"/>
              </w:rPr>
            </w:pPr>
            <w:r>
              <w:rPr>
                <w:rFonts w:ascii="Calibri" w:hAnsi="Calibri" w:cs="Calibri"/>
                <w:sz w:val="20"/>
              </w:rPr>
              <w:t>September 2019</w:t>
            </w:r>
          </w:p>
        </w:tc>
        <w:tc>
          <w:tcPr>
            <w:tcW w:w="5718" w:type="dxa"/>
            <w:shd w:val="clear" w:color="auto" w:fill="auto"/>
          </w:tcPr>
          <w:p w14:paraId="20554166" w14:textId="77777777" w:rsidR="005A77A0" w:rsidRDefault="005A77A0" w:rsidP="00D97DDF">
            <w:pPr>
              <w:numPr>
                <w:ilvl w:val="0"/>
                <w:numId w:val="15"/>
              </w:numPr>
              <w:ind w:left="352" w:hanging="352"/>
              <w:rPr>
                <w:rFonts w:ascii="Calibri" w:hAnsi="Calibri"/>
                <w:bCs/>
                <w:sz w:val="20"/>
              </w:rPr>
            </w:pPr>
            <w:r>
              <w:rPr>
                <w:rFonts w:ascii="Calibri" w:hAnsi="Calibri"/>
                <w:bCs/>
                <w:sz w:val="20"/>
              </w:rPr>
              <w:t>Removal of Assistant Principal – Finance to Financial Controller</w:t>
            </w:r>
          </w:p>
        </w:tc>
      </w:tr>
      <w:tr w:rsidR="00235420" w:rsidRPr="006228B5" w14:paraId="7DCFB820" w14:textId="77777777" w:rsidTr="0D4B5227">
        <w:tc>
          <w:tcPr>
            <w:tcW w:w="958" w:type="dxa"/>
          </w:tcPr>
          <w:p w14:paraId="722A3F56" w14:textId="77777777" w:rsidR="00235420" w:rsidRDefault="00235420" w:rsidP="00571AF5">
            <w:pPr>
              <w:pStyle w:val="BodyText"/>
              <w:jc w:val="center"/>
              <w:rPr>
                <w:rFonts w:ascii="Calibri" w:hAnsi="Calibri" w:cs="Calibri"/>
                <w:sz w:val="20"/>
              </w:rPr>
            </w:pPr>
            <w:r>
              <w:rPr>
                <w:rFonts w:ascii="Calibri" w:hAnsi="Calibri" w:cs="Calibri"/>
                <w:sz w:val="20"/>
              </w:rPr>
              <w:t>V8</w:t>
            </w:r>
          </w:p>
        </w:tc>
        <w:tc>
          <w:tcPr>
            <w:tcW w:w="2646" w:type="dxa"/>
            <w:shd w:val="clear" w:color="auto" w:fill="auto"/>
          </w:tcPr>
          <w:p w14:paraId="59CCCC37" w14:textId="77777777" w:rsidR="00235420" w:rsidRDefault="00235420" w:rsidP="00571AF5">
            <w:pPr>
              <w:pStyle w:val="BodyText"/>
              <w:jc w:val="center"/>
              <w:rPr>
                <w:rFonts w:ascii="Calibri" w:hAnsi="Calibri" w:cs="Calibri"/>
                <w:sz w:val="20"/>
              </w:rPr>
            </w:pPr>
            <w:r>
              <w:rPr>
                <w:rFonts w:ascii="Calibri" w:hAnsi="Calibri" w:cs="Calibri"/>
                <w:sz w:val="20"/>
              </w:rPr>
              <w:t>January 2020</w:t>
            </w:r>
          </w:p>
        </w:tc>
        <w:tc>
          <w:tcPr>
            <w:tcW w:w="5718" w:type="dxa"/>
            <w:shd w:val="clear" w:color="auto" w:fill="auto"/>
          </w:tcPr>
          <w:p w14:paraId="20C34235" w14:textId="77777777" w:rsidR="00235420" w:rsidRDefault="00235420" w:rsidP="00D97DDF">
            <w:pPr>
              <w:numPr>
                <w:ilvl w:val="0"/>
                <w:numId w:val="15"/>
              </w:numPr>
              <w:ind w:left="352" w:hanging="352"/>
              <w:rPr>
                <w:rFonts w:ascii="Calibri" w:hAnsi="Calibri"/>
                <w:bCs/>
                <w:sz w:val="20"/>
              </w:rPr>
            </w:pPr>
            <w:r>
              <w:rPr>
                <w:rFonts w:ascii="Calibri" w:hAnsi="Calibri"/>
                <w:bCs/>
                <w:sz w:val="20"/>
              </w:rPr>
              <w:t>Update of Procurement Thresholds</w:t>
            </w:r>
          </w:p>
        </w:tc>
      </w:tr>
      <w:tr w:rsidR="00C808CF" w:rsidRPr="006228B5" w14:paraId="7492AEFB" w14:textId="77777777" w:rsidTr="0D4B5227">
        <w:tc>
          <w:tcPr>
            <w:tcW w:w="958" w:type="dxa"/>
          </w:tcPr>
          <w:p w14:paraId="63883E84" w14:textId="24B7DFEB" w:rsidR="00C808CF" w:rsidRDefault="00C808CF" w:rsidP="00571AF5">
            <w:pPr>
              <w:pStyle w:val="BodyText"/>
              <w:jc w:val="center"/>
              <w:rPr>
                <w:rFonts w:ascii="Calibri" w:hAnsi="Calibri" w:cs="Calibri"/>
                <w:sz w:val="20"/>
              </w:rPr>
            </w:pPr>
            <w:r>
              <w:rPr>
                <w:rFonts w:ascii="Calibri" w:hAnsi="Calibri" w:cs="Calibri"/>
                <w:sz w:val="20"/>
              </w:rPr>
              <w:t>V9</w:t>
            </w:r>
          </w:p>
        </w:tc>
        <w:tc>
          <w:tcPr>
            <w:tcW w:w="2646" w:type="dxa"/>
            <w:shd w:val="clear" w:color="auto" w:fill="auto"/>
          </w:tcPr>
          <w:p w14:paraId="7CD34011" w14:textId="764B7390" w:rsidR="00C808CF" w:rsidRDefault="00710D13" w:rsidP="00571AF5">
            <w:pPr>
              <w:pStyle w:val="BodyText"/>
              <w:jc w:val="center"/>
              <w:rPr>
                <w:rFonts w:ascii="Calibri" w:hAnsi="Calibri" w:cs="Calibri"/>
                <w:sz w:val="20"/>
              </w:rPr>
            </w:pPr>
            <w:r>
              <w:rPr>
                <w:rFonts w:ascii="Calibri" w:hAnsi="Calibri" w:cs="Calibri"/>
                <w:sz w:val="20"/>
              </w:rPr>
              <w:t xml:space="preserve">September </w:t>
            </w:r>
            <w:r w:rsidR="00C808CF">
              <w:rPr>
                <w:rFonts w:ascii="Calibri" w:hAnsi="Calibri" w:cs="Calibri"/>
                <w:sz w:val="20"/>
              </w:rPr>
              <w:t>2020</w:t>
            </w:r>
          </w:p>
        </w:tc>
        <w:tc>
          <w:tcPr>
            <w:tcW w:w="5718" w:type="dxa"/>
            <w:shd w:val="clear" w:color="auto" w:fill="auto"/>
          </w:tcPr>
          <w:p w14:paraId="407BFCED" w14:textId="2E390F63" w:rsidR="00C808CF" w:rsidRDefault="08B2AE48" w:rsidP="0D4B5227">
            <w:pPr>
              <w:pStyle w:val="ListParagraph"/>
              <w:numPr>
                <w:ilvl w:val="0"/>
                <w:numId w:val="15"/>
              </w:numPr>
              <w:ind w:left="391" w:hanging="391"/>
              <w:rPr>
                <w:rFonts w:ascii="Calibri" w:hAnsi="Calibri"/>
                <w:sz w:val="20"/>
              </w:rPr>
            </w:pPr>
            <w:r w:rsidRPr="0D4B5227">
              <w:rPr>
                <w:rFonts w:ascii="Calibri" w:hAnsi="Calibri"/>
                <w:sz w:val="20"/>
              </w:rPr>
              <w:t xml:space="preserve">Section 1- </w:t>
            </w:r>
            <w:r w:rsidR="757729FC" w:rsidRPr="00710D13">
              <w:rPr>
                <w:rFonts w:ascii="Calibri" w:hAnsi="Calibri"/>
                <w:sz w:val="20"/>
              </w:rPr>
              <w:t>Addition of ‘all subsequent amendments’ to procurement legislation</w:t>
            </w:r>
          </w:p>
          <w:p w14:paraId="24A9CF18" w14:textId="36D6B740" w:rsidR="1F83EA63" w:rsidRDefault="1F83EA63" w:rsidP="0D4B5227">
            <w:pPr>
              <w:pStyle w:val="ListParagraph"/>
              <w:numPr>
                <w:ilvl w:val="0"/>
                <w:numId w:val="15"/>
              </w:numPr>
              <w:ind w:left="391" w:hanging="391"/>
              <w:rPr>
                <w:rFonts w:ascii="Calibri" w:eastAsia="Calibri" w:hAnsi="Calibri" w:cs="Calibri"/>
                <w:sz w:val="20"/>
              </w:rPr>
            </w:pPr>
            <w:r w:rsidRPr="0D4B5227">
              <w:rPr>
                <w:rFonts w:ascii="Calibri" w:hAnsi="Calibri"/>
                <w:sz w:val="20"/>
              </w:rPr>
              <w:t>Section 1 – amended ‘Public Procurement (Scotland) Act 2015 to ‘</w:t>
            </w:r>
            <w:r w:rsidRPr="0D4B5227">
              <w:rPr>
                <w:rFonts w:asciiTheme="minorHAnsi" w:hAnsiTheme="minorHAnsi"/>
                <w:sz w:val="20"/>
              </w:rPr>
              <w:t>Public Contracts (Scotland) Regulations 2015’</w:t>
            </w:r>
          </w:p>
          <w:p w14:paraId="51D98095" w14:textId="1F38AF68" w:rsidR="00335AB8" w:rsidRPr="00710D13" w:rsidRDefault="00335AB8" w:rsidP="00710D13">
            <w:pPr>
              <w:pStyle w:val="ListParagraph"/>
              <w:numPr>
                <w:ilvl w:val="0"/>
                <w:numId w:val="15"/>
              </w:numPr>
              <w:ind w:left="391" w:hanging="391"/>
              <w:rPr>
                <w:rFonts w:ascii="Calibri" w:hAnsi="Calibri"/>
                <w:bCs/>
                <w:sz w:val="20"/>
              </w:rPr>
            </w:pPr>
            <w:r>
              <w:rPr>
                <w:rFonts w:ascii="Calibri" w:hAnsi="Calibri"/>
                <w:bCs/>
                <w:sz w:val="20"/>
              </w:rPr>
              <w:t>Section 1 - Removal of reference to Supplier Charter</w:t>
            </w:r>
          </w:p>
          <w:p w14:paraId="1947ADA0" w14:textId="6C505395" w:rsidR="00C808CF" w:rsidRDefault="00C808CF" w:rsidP="00D97DDF">
            <w:pPr>
              <w:numPr>
                <w:ilvl w:val="0"/>
                <w:numId w:val="15"/>
              </w:numPr>
              <w:ind w:left="352" w:hanging="352"/>
              <w:rPr>
                <w:rFonts w:ascii="Calibri" w:hAnsi="Calibri"/>
                <w:bCs/>
                <w:sz w:val="20"/>
              </w:rPr>
            </w:pPr>
            <w:r>
              <w:rPr>
                <w:rFonts w:ascii="Calibri" w:hAnsi="Calibri"/>
                <w:bCs/>
                <w:sz w:val="20"/>
              </w:rPr>
              <w:t xml:space="preserve">Section 3 - Change to Supply Chain Manager name </w:t>
            </w:r>
          </w:p>
          <w:p w14:paraId="45A8E614" w14:textId="77777777" w:rsidR="00C808CF" w:rsidRDefault="00C808CF" w:rsidP="00D97DDF">
            <w:pPr>
              <w:numPr>
                <w:ilvl w:val="0"/>
                <w:numId w:val="15"/>
              </w:numPr>
              <w:ind w:left="352" w:hanging="352"/>
              <w:rPr>
                <w:rFonts w:ascii="Calibri" w:hAnsi="Calibri"/>
                <w:bCs/>
                <w:sz w:val="20"/>
              </w:rPr>
            </w:pPr>
            <w:r>
              <w:rPr>
                <w:rFonts w:ascii="Calibri" w:hAnsi="Calibri"/>
                <w:bCs/>
                <w:sz w:val="20"/>
              </w:rPr>
              <w:t>Section 4 – Addition of process for works between £50,000 and £1,999,999</w:t>
            </w:r>
          </w:p>
          <w:p w14:paraId="4F4DBE84" w14:textId="24A33C83" w:rsidR="00335AB8" w:rsidRDefault="00335AB8" w:rsidP="00D97DDF">
            <w:pPr>
              <w:numPr>
                <w:ilvl w:val="0"/>
                <w:numId w:val="15"/>
              </w:numPr>
              <w:ind w:left="352" w:hanging="352"/>
              <w:rPr>
                <w:rFonts w:ascii="Calibri" w:hAnsi="Calibri"/>
                <w:bCs/>
                <w:sz w:val="20"/>
              </w:rPr>
            </w:pPr>
            <w:r>
              <w:rPr>
                <w:rFonts w:ascii="Calibri" w:hAnsi="Calibri"/>
                <w:bCs/>
                <w:sz w:val="20"/>
              </w:rPr>
              <w:t>Section 9 – Removal of reference to Supplier Charter</w:t>
            </w:r>
          </w:p>
        </w:tc>
      </w:tr>
      <w:tr w:rsidR="009905E5" w:rsidRPr="006228B5" w14:paraId="61D6C8E3" w14:textId="77777777" w:rsidTr="0D4B5227">
        <w:tc>
          <w:tcPr>
            <w:tcW w:w="958" w:type="dxa"/>
          </w:tcPr>
          <w:p w14:paraId="16961918" w14:textId="38994AC9" w:rsidR="009905E5" w:rsidRDefault="009905E5" w:rsidP="00571AF5">
            <w:pPr>
              <w:pStyle w:val="BodyText"/>
              <w:jc w:val="center"/>
              <w:rPr>
                <w:rFonts w:ascii="Calibri" w:hAnsi="Calibri" w:cs="Calibri"/>
                <w:sz w:val="20"/>
              </w:rPr>
            </w:pPr>
            <w:r>
              <w:rPr>
                <w:rFonts w:ascii="Calibri" w:hAnsi="Calibri" w:cs="Calibri"/>
                <w:sz w:val="20"/>
              </w:rPr>
              <w:t>V10</w:t>
            </w:r>
          </w:p>
        </w:tc>
        <w:tc>
          <w:tcPr>
            <w:tcW w:w="2646" w:type="dxa"/>
            <w:shd w:val="clear" w:color="auto" w:fill="auto"/>
          </w:tcPr>
          <w:p w14:paraId="174D7401" w14:textId="1D7FA4B9" w:rsidR="009905E5" w:rsidRDefault="009905E5" w:rsidP="00571AF5">
            <w:pPr>
              <w:pStyle w:val="BodyText"/>
              <w:jc w:val="center"/>
              <w:rPr>
                <w:rFonts w:ascii="Calibri" w:hAnsi="Calibri" w:cs="Calibri"/>
                <w:sz w:val="20"/>
              </w:rPr>
            </w:pPr>
            <w:r>
              <w:rPr>
                <w:rFonts w:ascii="Calibri" w:hAnsi="Calibri" w:cs="Calibri"/>
                <w:sz w:val="20"/>
              </w:rPr>
              <w:t>August 2021</w:t>
            </w:r>
          </w:p>
        </w:tc>
        <w:tc>
          <w:tcPr>
            <w:tcW w:w="5718" w:type="dxa"/>
            <w:shd w:val="clear" w:color="auto" w:fill="auto"/>
          </w:tcPr>
          <w:p w14:paraId="4D056C61" w14:textId="77777777" w:rsidR="005D314B" w:rsidRDefault="009905E5" w:rsidP="0D4B5227">
            <w:pPr>
              <w:pStyle w:val="ListParagraph"/>
              <w:numPr>
                <w:ilvl w:val="0"/>
                <w:numId w:val="15"/>
              </w:numPr>
              <w:ind w:left="391" w:hanging="391"/>
              <w:rPr>
                <w:rFonts w:ascii="Calibri" w:hAnsi="Calibri"/>
                <w:sz w:val="20"/>
              </w:rPr>
            </w:pPr>
            <w:r>
              <w:rPr>
                <w:rFonts w:ascii="Calibri" w:hAnsi="Calibri"/>
                <w:sz w:val="20"/>
              </w:rPr>
              <w:t>New Logo,</w:t>
            </w:r>
          </w:p>
          <w:p w14:paraId="18FC6D2A" w14:textId="77777777" w:rsidR="009905E5" w:rsidRDefault="005D314B" w:rsidP="0D4B5227">
            <w:pPr>
              <w:pStyle w:val="ListParagraph"/>
              <w:numPr>
                <w:ilvl w:val="0"/>
                <w:numId w:val="15"/>
              </w:numPr>
              <w:ind w:left="391" w:hanging="391"/>
              <w:rPr>
                <w:rFonts w:ascii="Calibri" w:hAnsi="Calibri"/>
                <w:sz w:val="20"/>
              </w:rPr>
            </w:pPr>
            <w:r>
              <w:rPr>
                <w:rFonts w:ascii="Calibri" w:hAnsi="Calibri"/>
                <w:sz w:val="20"/>
              </w:rPr>
              <w:t>C</w:t>
            </w:r>
            <w:r w:rsidR="009905E5">
              <w:rPr>
                <w:rFonts w:ascii="Calibri" w:hAnsi="Calibri"/>
                <w:sz w:val="20"/>
              </w:rPr>
              <w:t>hange</w:t>
            </w:r>
            <w:r>
              <w:rPr>
                <w:rFonts w:ascii="Calibri" w:hAnsi="Calibri"/>
                <w:sz w:val="20"/>
              </w:rPr>
              <w:t>d job title – VP Resources to Chief Financial Officer</w:t>
            </w:r>
          </w:p>
          <w:p w14:paraId="11681ABF" w14:textId="03F23001" w:rsidR="005D314B" w:rsidRPr="0D4B5227" w:rsidRDefault="005D314B" w:rsidP="0D4B5227">
            <w:pPr>
              <w:pStyle w:val="ListParagraph"/>
              <w:numPr>
                <w:ilvl w:val="0"/>
                <w:numId w:val="15"/>
              </w:numPr>
              <w:ind w:left="391" w:hanging="391"/>
              <w:rPr>
                <w:rFonts w:ascii="Calibri" w:hAnsi="Calibri"/>
                <w:sz w:val="20"/>
              </w:rPr>
            </w:pPr>
            <w:r>
              <w:rPr>
                <w:rFonts w:ascii="Calibri" w:hAnsi="Calibri"/>
                <w:sz w:val="20"/>
              </w:rPr>
              <w:t>Changed references to EU legislation</w:t>
            </w:r>
          </w:p>
        </w:tc>
      </w:tr>
    </w:tbl>
    <w:p w14:paraId="24D7B1C4" w14:textId="77777777" w:rsidR="00E2157E" w:rsidRPr="00B22E7A" w:rsidRDefault="00E2157E">
      <w:pPr>
        <w:pStyle w:val="BodyText"/>
        <w:rPr>
          <w:rFonts w:ascii="Calibri" w:hAnsi="Calibri" w:cs="Calibri"/>
          <w:sz w:val="24"/>
          <w:szCs w:val="24"/>
        </w:rPr>
      </w:pPr>
    </w:p>
    <w:p w14:paraId="01CB75B6" w14:textId="77777777" w:rsidR="00E2157E" w:rsidRPr="00B22E7A" w:rsidRDefault="00E2157E">
      <w:pPr>
        <w:pStyle w:val="BodyText"/>
        <w:rPr>
          <w:rFonts w:ascii="Calibri" w:hAnsi="Calibri" w:cs="Calibri"/>
          <w:sz w:val="24"/>
          <w:szCs w:val="24"/>
        </w:rPr>
      </w:pPr>
    </w:p>
    <w:sectPr w:rsidR="00E2157E" w:rsidRPr="00B22E7A" w:rsidSect="00294553">
      <w:headerReference w:type="default" r:id="rId18"/>
      <w:footerReference w:type="default" r:id="rId1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6E583" w14:textId="77777777" w:rsidR="0034354E" w:rsidRDefault="0034354E">
      <w:r>
        <w:separator/>
      </w:r>
    </w:p>
  </w:endnote>
  <w:endnote w:type="continuationSeparator" w:id="0">
    <w:p w14:paraId="5E9F0DF9" w14:textId="77777777" w:rsidR="0034354E" w:rsidRDefault="0034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79129" w14:textId="77777777" w:rsidR="00B22E7A" w:rsidRDefault="00B22E7A" w:rsidP="005B0138">
    <w:pPr>
      <w:pStyle w:val="Footer"/>
      <w:rPr>
        <w:rFonts w:ascii="Calibri" w:hAnsi="Calibri" w:cs="Calibri"/>
        <w:szCs w:val="22"/>
      </w:rPr>
    </w:pPr>
    <w:r>
      <w:rPr>
        <w:rFonts w:ascii="Calibri" w:hAnsi="Calibri" w:cs="Calibri"/>
        <w:szCs w:val="22"/>
      </w:rPr>
      <w:t>__________________________________________________________________________________</w:t>
    </w:r>
  </w:p>
  <w:p w14:paraId="47589016" w14:textId="77777777" w:rsidR="005B0138" w:rsidRDefault="005B0138" w:rsidP="005B0138">
    <w:pPr>
      <w:pStyle w:val="Footer"/>
      <w:rPr>
        <w:rFonts w:ascii="Calibri" w:hAnsi="Calibri" w:cs="Calibri"/>
        <w:b/>
        <w:szCs w:val="22"/>
      </w:rPr>
    </w:pPr>
    <w:r>
      <w:rPr>
        <w:rFonts w:ascii="Calibri" w:hAnsi="Calibri" w:cs="Calibri"/>
        <w:szCs w:val="22"/>
      </w:rPr>
      <w:t>FIN07</w:t>
    </w:r>
    <w:r w:rsidRPr="00E91B02">
      <w:rPr>
        <w:rFonts w:ascii="Calibri" w:hAnsi="Calibri" w:cs="Calibri"/>
        <w:szCs w:val="22"/>
      </w:rPr>
      <w:t xml:space="preserve"> </w:t>
    </w:r>
    <w:r>
      <w:rPr>
        <w:rFonts w:ascii="Calibri" w:hAnsi="Calibri" w:cs="Calibri"/>
        <w:szCs w:val="22"/>
      </w:rPr>
      <w:t>Tendering</w:t>
    </w:r>
    <w:r w:rsidR="000E34AB">
      <w:rPr>
        <w:rFonts w:ascii="Calibri" w:hAnsi="Calibri" w:cs="Calibri"/>
        <w:szCs w:val="22"/>
      </w:rPr>
      <w:t xml:space="preserve"> Policy</w:t>
    </w:r>
    <w:r w:rsidRPr="00E91B02">
      <w:rPr>
        <w:rFonts w:ascii="Calibri" w:hAnsi="Calibri" w:cs="Calibri"/>
        <w:szCs w:val="22"/>
      </w:rPr>
      <w:t xml:space="preserve">      </w:t>
    </w:r>
    <w:r w:rsidR="00B22E7A">
      <w:rPr>
        <w:rFonts w:ascii="Calibri" w:hAnsi="Calibri" w:cs="Calibri"/>
        <w:szCs w:val="22"/>
      </w:rPr>
      <w:tab/>
    </w:r>
    <w:r w:rsidR="00B22E7A">
      <w:rPr>
        <w:rFonts w:ascii="Calibri" w:hAnsi="Calibri" w:cs="Calibri"/>
        <w:szCs w:val="22"/>
      </w:rPr>
      <w:tab/>
      <w:t xml:space="preserve">       </w:t>
    </w:r>
    <w:r w:rsidR="00B22E7A" w:rsidRPr="00E91B02">
      <w:rPr>
        <w:rFonts w:ascii="Calibri" w:hAnsi="Calibri" w:cs="Calibri"/>
        <w:szCs w:val="22"/>
      </w:rPr>
      <w:t xml:space="preserve">Page </w:t>
    </w:r>
    <w:r w:rsidR="00B22E7A" w:rsidRPr="00E91B02">
      <w:rPr>
        <w:rFonts w:ascii="Calibri" w:hAnsi="Calibri" w:cs="Calibri"/>
        <w:b/>
        <w:szCs w:val="22"/>
      </w:rPr>
      <w:fldChar w:fldCharType="begin"/>
    </w:r>
    <w:r w:rsidR="00B22E7A" w:rsidRPr="00E91B02">
      <w:rPr>
        <w:rFonts w:ascii="Calibri" w:hAnsi="Calibri" w:cs="Calibri"/>
        <w:b/>
        <w:szCs w:val="22"/>
      </w:rPr>
      <w:instrText xml:space="preserve"> PAGE </w:instrText>
    </w:r>
    <w:r w:rsidR="00B22E7A" w:rsidRPr="00E91B02">
      <w:rPr>
        <w:rFonts w:ascii="Calibri" w:hAnsi="Calibri" w:cs="Calibri"/>
        <w:b/>
        <w:szCs w:val="22"/>
      </w:rPr>
      <w:fldChar w:fldCharType="separate"/>
    </w:r>
    <w:r w:rsidR="00590DBD">
      <w:rPr>
        <w:rFonts w:ascii="Calibri" w:hAnsi="Calibri" w:cs="Calibri"/>
        <w:b/>
        <w:noProof/>
        <w:szCs w:val="22"/>
      </w:rPr>
      <w:t>5</w:t>
    </w:r>
    <w:r w:rsidR="00B22E7A" w:rsidRPr="00E91B02">
      <w:rPr>
        <w:rFonts w:ascii="Calibri" w:hAnsi="Calibri" w:cs="Calibri"/>
        <w:b/>
        <w:szCs w:val="22"/>
      </w:rPr>
      <w:fldChar w:fldCharType="end"/>
    </w:r>
    <w:r w:rsidR="00B22E7A" w:rsidRPr="00E91B02">
      <w:rPr>
        <w:rFonts w:ascii="Calibri" w:hAnsi="Calibri" w:cs="Calibri"/>
        <w:szCs w:val="22"/>
      </w:rPr>
      <w:t xml:space="preserve"> of </w:t>
    </w:r>
    <w:r w:rsidR="00B22E7A" w:rsidRPr="00E91B02">
      <w:rPr>
        <w:rFonts w:ascii="Calibri" w:hAnsi="Calibri" w:cs="Calibri"/>
        <w:b/>
        <w:szCs w:val="22"/>
      </w:rPr>
      <w:fldChar w:fldCharType="begin"/>
    </w:r>
    <w:r w:rsidR="00B22E7A" w:rsidRPr="00E91B02">
      <w:rPr>
        <w:rFonts w:ascii="Calibri" w:hAnsi="Calibri" w:cs="Calibri"/>
        <w:b/>
        <w:szCs w:val="22"/>
      </w:rPr>
      <w:instrText xml:space="preserve"> NUMPAGES  </w:instrText>
    </w:r>
    <w:r w:rsidR="00B22E7A" w:rsidRPr="00E91B02">
      <w:rPr>
        <w:rFonts w:ascii="Calibri" w:hAnsi="Calibri" w:cs="Calibri"/>
        <w:b/>
        <w:szCs w:val="22"/>
      </w:rPr>
      <w:fldChar w:fldCharType="separate"/>
    </w:r>
    <w:r w:rsidR="00590DBD">
      <w:rPr>
        <w:rFonts w:ascii="Calibri" w:hAnsi="Calibri" w:cs="Calibri"/>
        <w:b/>
        <w:noProof/>
        <w:szCs w:val="22"/>
      </w:rPr>
      <w:t>5</w:t>
    </w:r>
    <w:r w:rsidR="00B22E7A" w:rsidRPr="00E91B02">
      <w:rPr>
        <w:rFonts w:ascii="Calibri" w:hAnsi="Calibri" w:cs="Calibri"/>
        <w:b/>
        <w:szCs w:val="22"/>
      </w:rPr>
      <w:fldChar w:fldCharType="end"/>
    </w:r>
  </w:p>
  <w:p w14:paraId="2B9C6CB1" w14:textId="77777777" w:rsidR="00B22E7A" w:rsidRPr="00E91B02" w:rsidRDefault="00B22E7A" w:rsidP="005B0138">
    <w:pPr>
      <w:pStyle w:val="Footer"/>
      <w:rPr>
        <w:rFonts w:ascii="Calibri" w:hAnsi="Calibri" w:cs="Calibri"/>
        <w:szCs w:val="22"/>
      </w:rPr>
    </w:pPr>
  </w:p>
  <w:p w14:paraId="2B028DD5" w14:textId="77777777" w:rsidR="005B0138" w:rsidRPr="004467CA" w:rsidRDefault="005B0138" w:rsidP="005B0138">
    <w:pPr>
      <w:pStyle w:val="Footer"/>
      <w:jc w:val="right"/>
    </w:pPr>
    <w:r w:rsidRPr="00E91B02">
      <w:rPr>
        <w:rFonts w:ascii="Calibri" w:hAnsi="Calibri"/>
        <w:sz w:val="16"/>
        <w:szCs w:val="16"/>
      </w:rPr>
      <w:t>New College Lanarkshire: Registered Charity Number SC021206</w:t>
    </w:r>
  </w:p>
  <w:p w14:paraId="1C07DB74" w14:textId="77777777" w:rsidR="00E35A16" w:rsidRPr="005B0138" w:rsidRDefault="00E35A16" w:rsidP="005B0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60E97" w14:textId="77777777" w:rsidR="0034354E" w:rsidRDefault="0034354E">
      <w:r>
        <w:separator/>
      </w:r>
    </w:p>
  </w:footnote>
  <w:footnote w:type="continuationSeparator" w:id="0">
    <w:p w14:paraId="383088D9" w14:textId="77777777" w:rsidR="0034354E" w:rsidRDefault="00343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C5FE7" w14:textId="77777777" w:rsidR="00E35A16" w:rsidRPr="00795329" w:rsidRDefault="009B028A">
    <w:pPr>
      <w:pStyle w:val="Header"/>
      <w:rPr>
        <w:rFonts w:ascii="Century Gothic" w:hAnsi="Century Gothic" w:cs="Tahoma"/>
        <w:b/>
      </w:rPr>
    </w:pPr>
    <w:r>
      <w:rPr>
        <w:rFonts w:ascii="Century Gothic" w:hAnsi="Century Gothic" w:cs="Tahoma"/>
        <w:b/>
      </w:rPr>
      <w:t>New College Lanarkshire</w:t>
    </w:r>
  </w:p>
  <w:p w14:paraId="34E7D179" w14:textId="77777777" w:rsidR="00E35A16" w:rsidRPr="00795329" w:rsidRDefault="00E35A16">
    <w:pPr>
      <w:pStyle w:val="Header"/>
      <w:rPr>
        <w:rFonts w:ascii="Century Gothic" w:hAnsi="Century Gothic"/>
        <w:b/>
      </w:rPr>
    </w:pPr>
  </w:p>
  <w:p w14:paraId="3C5BDD68" w14:textId="77777777" w:rsidR="00E35A16" w:rsidRPr="00795329" w:rsidRDefault="00F8498E">
    <w:pPr>
      <w:pStyle w:val="Header"/>
      <w:rPr>
        <w:rFonts w:ascii="Century Gothic" w:hAnsi="Century Gothic" w:cs="Tahoma"/>
        <w:b/>
      </w:rPr>
    </w:pPr>
    <w:r>
      <w:rPr>
        <w:rFonts w:ascii="Century Gothic" w:hAnsi="Century Gothic" w:cs="Tahoma"/>
        <w:b/>
      </w:rPr>
      <w:t>Tendering Policy</w:t>
    </w:r>
  </w:p>
  <w:p w14:paraId="2B49BF71" w14:textId="77777777" w:rsidR="00E35A16" w:rsidRDefault="00E35A16">
    <w:pPr>
      <w:pStyle w:val="Header"/>
      <w:pBdr>
        <w:bottom w:val="single" w:sz="4" w:space="1" w:color="auto"/>
      </w:pBdr>
      <w:rPr>
        <w:rFonts w:ascii="Arial" w:hAnsi="Arial"/>
        <w:b/>
      </w:rPr>
    </w:pPr>
    <w:r w:rsidRPr="00795329">
      <w:rPr>
        <w:rFonts w:ascii="Century Gothic" w:hAnsi="Century Gothic" w:cs="Tahoma"/>
        <w:b/>
      </w:rPr>
      <w:tab/>
    </w:r>
    <w:r>
      <w:rPr>
        <w:rFonts w:ascii="Arial" w:hAnsi="Arial"/>
        <w:b/>
      </w:rPr>
      <w:tab/>
    </w:r>
    <w:r>
      <w:rPr>
        <w:rFonts w:ascii="Arial" w:hAnsi="Arial"/>
        <w:b/>
      </w:rPr>
      <w:tab/>
    </w:r>
  </w:p>
  <w:p w14:paraId="474211AA" w14:textId="77777777" w:rsidR="00E35A16" w:rsidRDefault="00E35A16">
    <w:pPr>
      <w:pStyle w:val="Header"/>
      <w:rPr>
        <w:rFonts w:ascii="Arial" w:hAnsi="Arial"/>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837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710DE0"/>
    <w:multiLevelType w:val="hybridMultilevel"/>
    <w:tmpl w:val="074C3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D51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003070"/>
    <w:multiLevelType w:val="multilevel"/>
    <w:tmpl w:val="ED3CC204"/>
    <w:lvl w:ilvl="0">
      <w:start w:val="9"/>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D34780"/>
    <w:multiLevelType w:val="hybridMultilevel"/>
    <w:tmpl w:val="58367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2069A"/>
    <w:multiLevelType w:val="multilevel"/>
    <w:tmpl w:val="D6D8D2F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1C24414"/>
    <w:multiLevelType w:val="multilevel"/>
    <w:tmpl w:val="D60AE3D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2361FB"/>
    <w:multiLevelType w:val="singleLevel"/>
    <w:tmpl w:val="70B2C1C8"/>
    <w:lvl w:ilvl="0">
      <w:start w:val="2"/>
      <w:numFmt w:val="decimal"/>
      <w:lvlText w:val="%1"/>
      <w:lvlJc w:val="left"/>
      <w:pPr>
        <w:tabs>
          <w:tab w:val="num" w:pos="855"/>
        </w:tabs>
        <w:ind w:left="855" w:hanging="855"/>
      </w:pPr>
      <w:rPr>
        <w:rFonts w:hint="default"/>
      </w:rPr>
    </w:lvl>
  </w:abstractNum>
  <w:abstractNum w:abstractNumId="9" w15:restartNumberingAfterBreak="0">
    <w:nsid w:val="2D40350B"/>
    <w:multiLevelType w:val="singleLevel"/>
    <w:tmpl w:val="2DA46160"/>
    <w:lvl w:ilvl="0">
      <w:start w:val="3"/>
      <w:numFmt w:val="decimal"/>
      <w:lvlText w:val="%1"/>
      <w:lvlJc w:val="left"/>
      <w:pPr>
        <w:tabs>
          <w:tab w:val="num" w:pos="855"/>
        </w:tabs>
        <w:ind w:left="855" w:hanging="855"/>
      </w:pPr>
      <w:rPr>
        <w:rFonts w:hint="default"/>
      </w:rPr>
    </w:lvl>
  </w:abstractNum>
  <w:abstractNum w:abstractNumId="10" w15:restartNumberingAfterBreak="0">
    <w:nsid w:val="34E6299B"/>
    <w:multiLevelType w:val="hybridMultilevel"/>
    <w:tmpl w:val="9D24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1E46BF"/>
    <w:multiLevelType w:val="hybridMultilevel"/>
    <w:tmpl w:val="4DBC8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0032D6"/>
    <w:multiLevelType w:val="multilevel"/>
    <w:tmpl w:val="1514EA2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45CC53A7"/>
    <w:multiLevelType w:val="hybridMultilevel"/>
    <w:tmpl w:val="08090001"/>
    <w:lvl w:ilvl="0" w:tplc="001EF59E">
      <w:start w:val="1"/>
      <w:numFmt w:val="bullet"/>
      <w:lvlText w:val=""/>
      <w:lvlJc w:val="left"/>
      <w:pPr>
        <w:tabs>
          <w:tab w:val="num" w:pos="360"/>
        </w:tabs>
        <w:ind w:left="360" w:hanging="360"/>
      </w:pPr>
      <w:rPr>
        <w:rFonts w:ascii="Symbol" w:hAnsi="Symbol" w:hint="default"/>
      </w:rPr>
    </w:lvl>
    <w:lvl w:ilvl="1" w:tplc="76F0608C">
      <w:numFmt w:val="decimal"/>
      <w:lvlText w:val=""/>
      <w:lvlJc w:val="left"/>
    </w:lvl>
    <w:lvl w:ilvl="2" w:tplc="4FAE2F54">
      <w:numFmt w:val="decimal"/>
      <w:lvlText w:val=""/>
      <w:lvlJc w:val="left"/>
    </w:lvl>
    <w:lvl w:ilvl="3" w:tplc="3026A898">
      <w:numFmt w:val="decimal"/>
      <w:lvlText w:val=""/>
      <w:lvlJc w:val="left"/>
    </w:lvl>
    <w:lvl w:ilvl="4" w:tplc="478652B0">
      <w:numFmt w:val="decimal"/>
      <w:lvlText w:val=""/>
      <w:lvlJc w:val="left"/>
    </w:lvl>
    <w:lvl w:ilvl="5" w:tplc="88F494FE">
      <w:numFmt w:val="decimal"/>
      <w:lvlText w:val=""/>
      <w:lvlJc w:val="left"/>
    </w:lvl>
    <w:lvl w:ilvl="6" w:tplc="75CA2C08">
      <w:numFmt w:val="decimal"/>
      <w:lvlText w:val=""/>
      <w:lvlJc w:val="left"/>
    </w:lvl>
    <w:lvl w:ilvl="7" w:tplc="9B5EE69E">
      <w:numFmt w:val="decimal"/>
      <w:lvlText w:val=""/>
      <w:lvlJc w:val="left"/>
    </w:lvl>
    <w:lvl w:ilvl="8" w:tplc="C35ACA98">
      <w:numFmt w:val="decimal"/>
      <w:lvlText w:val=""/>
      <w:lvlJc w:val="left"/>
    </w:lvl>
  </w:abstractNum>
  <w:abstractNum w:abstractNumId="14" w15:restartNumberingAfterBreak="0">
    <w:nsid w:val="46031F71"/>
    <w:multiLevelType w:val="multilevel"/>
    <w:tmpl w:val="4AC60DC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BB2732C"/>
    <w:multiLevelType w:val="hybridMultilevel"/>
    <w:tmpl w:val="7FEE5CD6"/>
    <w:lvl w:ilvl="0" w:tplc="CAC6A3F6">
      <w:start w:val="6"/>
      <w:numFmt w:val="bullet"/>
      <w:lvlText w:val="-"/>
      <w:lvlJc w:val="left"/>
      <w:pPr>
        <w:tabs>
          <w:tab w:val="num" w:pos="643"/>
        </w:tabs>
        <w:ind w:left="643" w:hanging="360"/>
      </w:pPr>
      <w:rPr>
        <w:rFonts w:ascii="Century Gothic" w:eastAsia="Times New Roman" w:hAnsi="Century Gothic" w:cs="Tahoma"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16" w15:restartNumberingAfterBreak="0">
    <w:nsid w:val="5CF74439"/>
    <w:multiLevelType w:val="hybridMultilevel"/>
    <w:tmpl w:val="08090001"/>
    <w:lvl w:ilvl="0" w:tplc="9AE24C10">
      <w:start w:val="1"/>
      <w:numFmt w:val="bullet"/>
      <w:lvlText w:val=""/>
      <w:lvlJc w:val="left"/>
      <w:pPr>
        <w:tabs>
          <w:tab w:val="num" w:pos="360"/>
        </w:tabs>
        <w:ind w:left="360" w:hanging="360"/>
      </w:pPr>
      <w:rPr>
        <w:rFonts w:ascii="Symbol" w:hAnsi="Symbol" w:hint="default"/>
      </w:rPr>
    </w:lvl>
    <w:lvl w:ilvl="1" w:tplc="726AD4D2">
      <w:numFmt w:val="decimal"/>
      <w:lvlText w:val=""/>
      <w:lvlJc w:val="left"/>
    </w:lvl>
    <w:lvl w:ilvl="2" w:tplc="1318C260">
      <w:numFmt w:val="decimal"/>
      <w:lvlText w:val=""/>
      <w:lvlJc w:val="left"/>
    </w:lvl>
    <w:lvl w:ilvl="3" w:tplc="8302437E">
      <w:numFmt w:val="decimal"/>
      <w:lvlText w:val=""/>
      <w:lvlJc w:val="left"/>
    </w:lvl>
    <w:lvl w:ilvl="4" w:tplc="C74C6C2A">
      <w:numFmt w:val="decimal"/>
      <w:lvlText w:val=""/>
      <w:lvlJc w:val="left"/>
    </w:lvl>
    <w:lvl w:ilvl="5" w:tplc="F6F2557C">
      <w:numFmt w:val="decimal"/>
      <w:lvlText w:val=""/>
      <w:lvlJc w:val="left"/>
    </w:lvl>
    <w:lvl w:ilvl="6" w:tplc="0A6C24AA">
      <w:numFmt w:val="decimal"/>
      <w:lvlText w:val=""/>
      <w:lvlJc w:val="left"/>
    </w:lvl>
    <w:lvl w:ilvl="7" w:tplc="066A8824">
      <w:numFmt w:val="decimal"/>
      <w:lvlText w:val=""/>
      <w:lvlJc w:val="left"/>
    </w:lvl>
    <w:lvl w:ilvl="8" w:tplc="33DCEE18">
      <w:numFmt w:val="decimal"/>
      <w:lvlText w:val=""/>
      <w:lvlJc w:val="left"/>
    </w:lvl>
  </w:abstractNum>
  <w:abstractNum w:abstractNumId="17" w15:restartNumberingAfterBreak="0">
    <w:nsid w:val="60711410"/>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645FA3"/>
    <w:multiLevelType w:val="singleLevel"/>
    <w:tmpl w:val="79181CBC"/>
    <w:lvl w:ilvl="0">
      <w:start w:val="1"/>
      <w:numFmt w:val="lowerLetter"/>
      <w:lvlText w:val="%1)"/>
      <w:lvlJc w:val="left"/>
      <w:pPr>
        <w:tabs>
          <w:tab w:val="num" w:pos="855"/>
        </w:tabs>
        <w:ind w:left="855" w:hanging="855"/>
      </w:pPr>
      <w:rPr>
        <w:rFonts w:hint="default"/>
      </w:rPr>
    </w:lvl>
  </w:abstractNum>
  <w:abstractNum w:abstractNumId="19" w15:restartNumberingAfterBreak="0">
    <w:nsid w:val="661D3A2B"/>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EC7E37"/>
    <w:multiLevelType w:val="hybridMultilevel"/>
    <w:tmpl w:val="A8846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C24"/>
    <w:multiLevelType w:val="hybridMultilevel"/>
    <w:tmpl w:val="E15C18C8"/>
    <w:lvl w:ilvl="0" w:tplc="78B2A0E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7AB0091B"/>
    <w:multiLevelType w:val="hybridMultilevel"/>
    <w:tmpl w:val="08090017"/>
    <w:lvl w:ilvl="0" w:tplc="EA3EF8AE">
      <w:start w:val="1"/>
      <w:numFmt w:val="lowerLetter"/>
      <w:lvlText w:val="%1)"/>
      <w:lvlJc w:val="left"/>
      <w:pPr>
        <w:tabs>
          <w:tab w:val="num" w:pos="360"/>
        </w:tabs>
        <w:ind w:left="360" w:hanging="360"/>
      </w:pPr>
      <w:rPr>
        <w:rFonts w:hint="default"/>
      </w:rPr>
    </w:lvl>
    <w:lvl w:ilvl="1" w:tplc="E996DE52">
      <w:numFmt w:val="decimal"/>
      <w:lvlText w:val=""/>
      <w:lvlJc w:val="left"/>
    </w:lvl>
    <w:lvl w:ilvl="2" w:tplc="85DEF6B6">
      <w:numFmt w:val="decimal"/>
      <w:lvlText w:val=""/>
      <w:lvlJc w:val="left"/>
    </w:lvl>
    <w:lvl w:ilvl="3" w:tplc="2A542696">
      <w:numFmt w:val="decimal"/>
      <w:lvlText w:val=""/>
      <w:lvlJc w:val="left"/>
    </w:lvl>
    <w:lvl w:ilvl="4" w:tplc="D26AA5A0">
      <w:numFmt w:val="decimal"/>
      <w:lvlText w:val=""/>
      <w:lvlJc w:val="left"/>
    </w:lvl>
    <w:lvl w:ilvl="5" w:tplc="6FFA268C">
      <w:numFmt w:val="decimal"/>
      <w:lvlText w:val=""/>
      <w:lvlJc w:val="left"/>
    </w:lvl>
    <w:lvl w:ilvl="6" w:tplc="2BEE9512">
      <w:numFmt w:val="decimal"/>
      <w:lvlText w:val=""/>
      <w:lvlJc w:val="left"/>
    </w:lvl>
    <w:lvl w:ilvl="7" w:tplc="509861D4">
      <w:numFmt w:val="decimal"/>
      <w:lvlText w:val=""/>
      <w:lvlJc w:val="left"/>
    </w:lvl>
    <w:lvl w:ilvl="8" w:tplc="65F02A4A">
      <w:numFmt w:val="decimal"/>
      <w:lvlText w:val=""/>
      <w:lvlJc w:val="left"/>
    </w:lvl>
  </w:abstractNum>
  <w:abstractNum w:abstractNumId="23" w15:restartNumberingAfterBreak="0">
    <w:nsid w:val="7BB228CD"/>
    <w:multiLevelType w:val="hybridMultilevel"/>
    <w:tmpl w:val="124408E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8"/>
  </w:num>
  <w:num w:numId="2">
    <w:abstractNumId w:val="18"/>
  </w:num>
  <w:num w:numId="3">
    <w:abstractNumId w:val="9"/>
  </w:num>
  <w:num w:numId="4">
    <w:abstractNumId w:val="3"/>
  </w:num>
  <w:num w:numId="5">
    <w:abstractNumId w:val="17"/>
  </w:num>
  <w:num w:numId="6">
    <w:abstractNumId w:val="19"/>
  </w:num>
  <w:num w:numId="7">
    <w:abstractNumId w:val="13"/>
  </w:num>
  <w:num w:numId="8">
    <w:abstractNumId w:val="1"/>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6"/>
  </w:num>
  <w:num w:numId="11">
    <w:abstractNumId w:val="5"/>
  </w:num>
  <w:num w:numId="12">
    <w:abstractNumId w:val="20"/>
  </w:num>
  <w:num w:numId="13">
    <w:abstractNumId w:val="15"/>
  </w:num>
  <w:num w:numId="14">
    <w:abstractNumId w:val="7"/>
  </w:num>
  <w:num w:numId="15">
    <w:abstractNumId w:val="11"/>
  </w:num>
  <w:num w:numId="16">
    <w:abstractNumId w:val="2"/>
  </w:num>
  <w:num w:numId="17">
    <w:abstractNumId w:val="14"/>
  </w:num>
  <w:num w:numId="18">
    <w:abstractNumId w:val="22"/>
  </w:num>
  <w:num w:numId="19">
    <w:abstractNumId w:val="4"/>
  </w:num>
  <w:num w:numId="20">
    <w:abstractNumId w:val="23"/>
  </w:num>
  <w:num w:numId="21">
    <w:abstractNumId w:val="21"/>
  </w:num>
  <w:num w:numId="22">
    <w:abstractNumId w:val="10"/>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5C7"/>
    <w:rsid w:val="00005B39"/>
    <w:rsid w:val="00012EDA"/>
    <w:rsid w:val="000134D1"/>
    <w:rsid w:val="00022B39"/>
    <w:rsid w:val="00047B1D"/>
    <w:rsid w:val="0009015A"/>
    <w:rsid w:val="000A6647"/>
    <w:rsid w:val="000C1D01"/>
    <w:rsid w:val="000D1767"/>
    <w:rsid w:val="000D26DD"/>
    <w:rsid w:val="000E34AB"/>
    <w:rsid w:val="00110A73"/>
    <w:rsid w:val="00112FDA"/>
    <w:rsid w:val="00115CA2"/>
    <w:rsid w:val="00142C83"/>
    <w:rsid w:val="001449D7"/>
    <w:rsid w:val="001531D4"/>
    <w:rsid w:val="001555C7"/>
    <w:rsid w:val="00161DAB"/>
    <w:rsid w:val="001703E0"/>
    <w:rsid w:val="001968CA"/>
    <w:rsid w:val="001D4BF2"/>
    <w:rsid w:val="001F1E1D"/>
    <w:rsid w:val="001F2FF6"/>
    <w:rsid w:val="00210B2D"/>
    <w:rsid w:val="00216C47"/>
    <w:rsid w:val="00232A10"/>
    <w:rsid w:val="00235420"/>
    <w:rsid w:val="0024320C"/>
    <w:rsid w:val="00246C0B"/>
    <w:rsid w:val="00252114"/>
    <w:rsid w:val="0025414A"/>
    <w:rsid w:val="00262ECC"/>
    <w:rsid w:val="002809FC"/>
    <w:rsid w:val="00284B9F"/>
    <w:rsid w:val="00294553"/>
    <w:rsid w:val="002B1CA1"/>
    <w:rsid w:val="002E3BF3"/>
    <w:rsid w:val="0030460F"/>
    <w:rsid w:val="00335AB8"/>
    <w:rsid w:val="0034354E"/>
    <w:rsid w:val="00356028"/>
    <w:rsid w:val="00363F46"/>
    <w:rsid w:val="0037256D"/>
    <w:rsid w:val="00375364"/>
    <w:rsid w:val="003913A4"/>
    <w:rsid w:val="00393351"/>
    <w:rsid w:val="003B7AF0"/>
    <w:rsid w:val="003C107D"/>
    <w:rsid w:val="003D2C9C"/>
    <w:rsid w:val="003E416B"/>
    <w:rsid w:val="00404C50"/>
    <w:rsid w:val="00446F88"/>
    <w:rsid w:val="00460F44"/>
    <w:rsid w:val="0047086B"/>
    <w:rsid w:val="00493A90"/>
    <w:rsid w:val="00496915"/>
    <w:rsid w:val="004B588A"/>
    <w:rsid w:val="004C0BA6"/>
    <w:rsid w:val="005076D2"/>
    <w:rsid w:val="005133AA"/>
    <w:rsid w:val="00513B49"/>
    <w:rsid w:val="005366B3"/>
    <w:rsid w:val="0054357D"/>
    <w:rsid w:val="005479C4"/>
    <w:rsid w:val="00566A2A"/>
    <w:rsid w:val="00571AF5"/>
    <w:rsid w:val="005720AA"/>
    <w:rsid w:val="005770FE"/>
    <w:rsid w:val="00590D8B"/>
    <w:rsid w:val="00590DBD"/>
    <w:rsid w:val="005A6126"/>
    <w:rsid w:val="005A77A0"/>
    <w:rsid w:val="005B0138"/>
    <w:rsid w:val="005D314B"/>
    <w:rsid w:val="005D78D1"/>
    <w:rsid w:val="005E03A5"/>
    <w:rsid w:val="006128AE"/>
    <w:rsid w:val="0061444D"/>
    <w:rsid w:val="00614A86"/>
    <w:rsid w:val="006228B5"/>
    <w:rsid w:val="006373B1"/>
    <w:rsid w:val="0064219E"/>
    <w:rsid w:val="00643172"/>
    <w:rsid w:val="00662A15"/>
    <w:rsid w:val="0067195C"/>
    <w:rsid w:val="00690BD9"/>
    <w:rsid w:val="006A56F3"/>
    <w:rsid w:val="006C6057"/>
    <w:rsid w:val="006C7001"/>
    <w:rsid w:val="006D4C13"/>
    <w:rsid w:val="006D77EB"/>
    <w:rsid w:val="00710D13"/>
    <w:rsid w:val="00722149"/>
    <w:rsid w:val="00723772"/>
    <w:rsid w:val="0073388B"/>
    <w:rsid w:val="00734AB9"/>
    <w:rsid w:val="00751F6E"/>
    <w:rsid w:val="00767F10"/>
    <w:rsid w:val="00795329"/>
    <w:rsid w:val="007C26BF"/>
    <w:rsid w:val="007C7754"/>
    <w:rsid w:val="007D27B9"/>
    <w:rsid w:val="008347E9"/>
    <w:rsid w:val="0084493A"/>
    <w:rsid w:val="00846A32"/>
    <w:rsid w:val="0085689F"/>
    <w:rsid w:val="00862CB6"/>
    <w:rsid w:val="00862D34"/>
    <w:rsid w:val="00875BA3"/>
    <w:rsid w:val="008A33CC"/>
    <w:rsid w:val="008A70DA"/>
    <w:rsid w:val="008D70AF"/>
    <w:rsid w:val="008F3751"/>
    <w:rsid w:val="009000B5"/>
    <w:rsid w:val="0090065B"/>
    <w:rsid w:val="00904B0E"/>
    <w:rsid w:val="00953C4F"/>
    <w:rsid w:val="009758C3"/>
    <w:rsid w:val="00983355"/>
    <w:rsid w:val="009905E5"/>
    <w:rsid w:val="009918F3"/>
    <w:rsid w:val="009B028A"/>
    <w:rsid w:val="009C6539"/>
    <w:rsid w:val="009C78D6"/>
    <w:rsid w:val="009D1033"/>
    <w:rsid w:val="009E47E5"/>
    <w:rsid w:val="00A03384"/>
    <w:rsid w:val="00A32AA5"/>
    <w:rsid w:val="00A358DF"/>
    <w:rsid w:val="00A35D74"/>
    <w:rsid w:val="00AB0D93"/>
    <w:rsid w:val="00AB48C5"/>
    <w:rsid w:val="00AB6778"/>
    <w:rsid w:val="00AC6D10"/>
    <w:rsid w:val="00AE2FA2"/>
    <w:rsid w:val="00B06F9B"/>
    <w:rsid w:val="00B14FF8"/>
    <w:rsid w:val="00B22E7A"/>
    <w:rsid w:val="00B23B54"/>
    <w:rsid w:val="00B24BC8"/>
    <w:rsid w:val="00B34EF3"/>
    <w:rsid w:val="00B630D7"/>
    <w:rsid w:val="00B66BAF"/>
    <w:rsid w:val="00B8154F"/>
    <w:rsid w:val="00B93234"/>
    <w:rsid w:val="00B9483C"/>
    <w:rsid w:val="00BA005A"/>
    <w:rsid w:val="00BA78AE"/>
    <w:rsid w:val="00BC1C4F"/>
    <w:rsid w:val="00BC72BD"/>
    <w:rsid w:val="00BE09DA"/>
    <w:rsid w:val="00C0218C"/>
    <w:rsid w:val="00C248E6"/>
    <w:rsid w:val="00C4564C"/>
    <w:rsid w:val="00C53F5C"/>
    <w:rsid w:val="00C752BF"/>
    <w:rsid w:val="00C808CF"/>
    <w:rsid w:val="00CA3530"/>
    <w:rsid w:val="00CB17AB"/>
    <w:rsid w:val="00CB4828"/>
    <w:rsid w:val="00CD319D"/>
    <w:rsid w:val="00CD7E49"/>
    <w:rsid w:val="00D0089B"/>
    <w:rsid w:val="00D03B74"/>
    <w:rsid w:val="00D30131"/>
    <w:rsid w:val="00D5154E"/>
    <w:rsid w:val="00D528F3"/>
    <w:rsid w:val="00D97DDF"/>
    <w:rsid w:val="00DC7130"/>
    <w:rsid w:val="00DF2473"/>
    <w:rsid w:val="00E2157E"/>
    <w:rsid w:val="00E30E68"/>
    <w:rsid w:val="00E35A16"/>
    <w:rsid w:val="00E44E3D"/>
    <w:rsid w:val="00E511BC"/>
    <w:rsid w:val="00E62885"/>
    <w:rsid w:val="00E6709F"/>
    <w:rsid w:val="00E72AAF"/>
    <w:rsid w:val="00E82440"/>
    <w:rsid w:val="00E91025"/>
    <w:rsid w:val="00E91B02"/>
    <w:rsid w:val="00EA7A07"/>
    <w:rsid w:val="00ED5E28"/>
    <w:rsid w:val="00EE0ED9"/>
    <w:rsid w:val="00EE2F89"/>
    <w:rsid w:val="00EE53E1"/>
    <w:rsid w:val="00EF6321"/>
    <w:rsid w:val="00F079D5"/>
    <w:rsid w:val="00F67BF6"/>
    <w:rsid w:val="00F84802"/>
    <w:rsid w:val="00F8498E"/>
    <w:rsid w:val="00F97FB0"/>
    <w:rsid w:val="00FC5DD0"/>
    <w:rsid w:val="08B2AE48"/>
    <w:rsid w:val="0D4B5227"/>
    <w:rsid w:val="1AECBD89"/>
    <w:rsid w:val="1F83EA63"/>
    <w:rsid w:val="2412CF37"/>
    <w:rsid w:val="2CB63F99"/>
    <w:rsid w:val="353868A2"/>
    <w:rsid w:val="365C3904"/>
    <w:rsid w:val="3EA1555D"/>
    <w:rsid w:val="572311D5"/>
    <w:rsid w:val="6AD602A9"/>
    <w:rsid w:val="7053B40E"/>
    <w:rsid w:val="75772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D81AC7"/>
  <w15:docId w15:val="{EF58E0D6-77D5-4D1E-8A0B-9E168D00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4553"/>
    <w:rPr>
      <w:rFonts w:ascii="CG Times (W1)" w:hAnsi="CG Times (W1)"/>
      <w:sz w:val="22"/>
      <w:lang w:eastAsia="en-US"/>
    </w:rPr>
  </w:style>
  <w:style w:type="paragraph" w:styleId="Heading1">
    <w:name w:val="heading 1"/>
    <w:basedOn w:val="Normal"/>
    <w:next w:val="Normal"/>
    <w:qFormat/>
    <w:rsid w:val="00294553"/>
    <w:pPr>
      <w:keepNext/>
      <w:outlineLvl w:val="0"/>
    </w:pPr>
    <w:rPr>
      <w:rFonts w:ascii="Arial" w:hAnsi="Arial"/>
      <w:sz w:val="40"/>
    </w:rPr>
  </w:style>
  <w:style w:type="paragraph" w:styleId="Heading2">
    <w:name w:val="heading 2"/>
    <w:basedOn w:val="Normal"/>
    <w:next w:val="Normal"/>
    <w:qFormat/>
    <w:rsid w:val="00294553"/>
    <w:pPr>
      <w:keepNext/>
      <w:jc w:val="both"/>
      <w:outlineLvl w:val="1"/>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4553"/>
    <w:pPr>
      <w:tabs>
        <w:tab w:val="center" w:pos="4153"/>
        <w:tab w:val="right" w:pos="8306"/>
      </w:tabs>
    </w:pPr>
  </w:style>
  <w:style w:type="paragraph" w:styleId="Footer">
    <w:name w:val="footer"/>
    <w:basedOn w:val="Normal"/>
    <w:link w:val="FooterChar"/>
    <w:uiPriority w:val="99"/>
    <w:rsid w:val="00294553"/>
    <w:pPr>
      <w:tabs>
        <w:tab w:val="center" w:pos="4153"/>
        <w:tab w:val="right" w:pos="8306"/>
      </w:tabs>
    </w:pPr>
  </w:style>
  <w:style w:type="paragraph" w:styleId="BodyText">
    <w:name w:val="Body Text"/>
    <w:basedOn w:val="Normal"/>
    <w:link w:val="BodyTextChar"/>
    <w:rsid w:val="00294553"/>
    <w:pPr>
      <w:jc w:val="both"/>
    </w:pPr>
    <w:rPr>
      <w:rFonts w:ascii="Arial" w:hAnsi="Arial"/>
    </w:rPr>
  </w:style>
  <w:style w:type="paragraph" w:styleId="BodyText2">
    <w:name w:val="Body Text 2"/>
    <w:basedOn w:val="Normal"/>
    <w:rsid w:val="00294553"/>
    <w:pPr>
      <w:jc w:val="both"/>
    </w:pPr>
    <w:rPr>
      <w:rFonts w:ascii="Arial" w:hAnsi="Arial"/>
      <w:b/>
    </w:rPr>
  </w:style>
  <w:style w:type="paragraph" w:styleId="BodyTextIndent">
    <w:name w:val="Body Text Indent"/>
    <w:basedOn w:val="Normal"/>
    <w:rsid w:val="00294553"/>
    <w:pPr>
      <w:ind w:left="720" w:hanging="720"/>
      <w:jc w:val="both"/>
    </w:pPr>
    <w:rPr>
      <w:rFonts w:ascii="Arial" w:hAnsi="Arial"/>
    </w:rPr>
  </w:style>
  <w:style w:type="paragraph" w:styleId="BalloonText">
    <w:name w:val="Balloon Text"/>
    <w:basedOn w:val="Normal"/>
    <w:semiHidden/>
    <w:rsid w:val="0037256D"/>
    <w:rPr>
      <w:rFonts w:ascii="Tahoma" w:hAnsi="Tahoma" w:cs="Tahoma"/>
      <w:sz w:val="16"/>
      <w:szCs w:val="16"/>
    </w:rPr>
  </w:style>
  <w:style w:type="paragraph" w:styleId="Revision">
    <w:name w:val="Revision"/>
    <w:hidden/>
    <w:uiPriority w:val="99"/>
    <w:semiHidden/>
    <w:rsid w:val="00614A86"/>
    <w:rPr>
      <w:rFonts w:ascii="CG Times (W1)" w:hAnsi="CG Times (W1)"/>
      <w:sz w:val="22"/>
      <w:lang w:eastAsia="en-US"/>
    </w:rPr>
  </w:style>
  <w:style w:type="paragraph" w:styleId="ListParagraph">
    <w:name w:val="List Paragraph"/>
    <w:basedOn w:val="Normal"/>
    <w:uiPriority w:val="34"/>
    <w:qFormat/>
    <w:rsid w:val="00B23B54"/>
    <w:pPr>
      <w:ind w:left="720"/>
    </w:pPr>
  </w:style>
  <w:style w:type="character" w:customStyle="1" w:styleId="BodyTextChar">
    <w:name w:val="Body Text Char"/>
    <w:link w:val="BodyText"/>
    <w:rsid w:val="00E2157E"/>
    <w:rPr>
      <w:rFonts w:ascii="Arial" w:hAnsi="Arial"/>
      <w:sz w:val="22"/>
      <w:lang w:eastAsia="en-US"/>
    </w:rPr>
  </w:style>
  <w:style w:type="table" w:styleId="TableGrid">
    <w:name w:val="Table Grid"/>
    <w:basedOn w:val="TableNormal"/>
    <w:uiPriority w:val="59"/>
    <w:rsid w:val="007C26B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E91B02"/>
    <w:rPr>
      <w:rFonts w:ascii="CG Times (W1)" w:hAnsi="CG Times (W1)"/>
      <w:sz w:val="22"/>
      <w:lang w:eastAsia="en-US"/>
    </w:rPr>
  </w:style>
  <w:style w:type="character" w:customStyle="1" w:styleId="HeaderChar">
    <w:name w:val="Header Char"/>
    <w:link w:val="Header"/>
    <w:uiPriority w:val="99"/>
    <w:rsid w:val="00B22E7A"/>
    <w:rPr>
      <w:rFonts w:ascii="CG Times (W1)" w:hAnsi="CG Times (W1)"/>
      <w:sz w:val="22"/>
      <w:lang w:eastAsia="en-US"/>
    </w:rPr>
  </w:style>
  <w:style w:type="paragraph" w:customStyle="1" w:styleId="Default">
    <w:name w:val="Default"/>
    <w:rsid w:val="00DC7130"/>
    <w:pPr>
      <w:autoSpaceDE w:val="0"/>
      <w:autoSpaceDN w:val="0"/>
      <w:adjustRightInd w:val="0"/>
    </w:pPr>
    <w:rPr>
      <w:rFonts w:ascii="Arial" w:hAnsi="Arial" w:cs="Arial"/>
      <w:color w:val="000000"/>
      <w:sz w:val="24"/>
      <w:szCs w:val="24"/>
    </w:rPr>
  </w:style>
  <w:style w:type="character" w:styleId="Strong">
    <w:name w:val="Strong"/>
    <w:uiPriority w:val="22"/>
    <w:qFormat/>
    <w:rsid w:val="0064219E"/>
    <w:rPr>
      <w:b/>
      <w:bCs/>
    </w:rPr>
  </w:style>
  <w:style w:type="character" w:styleId="Hyperlink">
    <w:name w:val="Hyperlink"/>
    <w:basedOn w:val="DefaultParagraphFont"/>
    <w:rsid w:val="00460F44"/>
    <w:rPr>
      <w:color w:val="0563C1" w:themeColor="hyperlink"/>
      <w:u w:val="single"/>
    </w:rPr>
  </w:style>
  <w:style w:type="character" w:styleId="FollowedHyperlink">
    <w:name w:val="FollowedHyperlink"/>
    <w:basedOn w:val="DefaultParagraphFont"/>
    <w:semiHidden/>
    <w:unhideWhenUsed/>
    <w:rsid w:val="005D314B"/>
    <w:rPr>
      <w:color w:val="954F72" w:themeColor="followedHyperlink"/>
      <w:u w:val="single"/>
    </w:rPr>
  </w:style>
  <w:style w:type="character" w:styleId="UnresolvedMention">
    <w:name w:val="Unresolved Mention"/>
    <w:basedOn w:val="DefaultParagraphFont"/>
    <w:uiPriority w:val="99"/>
    <w:semiHidden/>
    <w:unhideWhenUsed/>
    <w:rsid w:val="005D3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9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asp/2014/12/part/1/crossheading/regulated-contrac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rocurementjourney.scot/additional-resources/thresholds" TargetMode="External"/><Relationship Id="rId17" Type="http://schemas.openxmlformats.org/officeDocument/2006/relationships/hyperlink" Target="https://ted.europa.eu/TED/browse/browseByMap.do" TargetMode="External"/><Relationship Id="rId2" Type="http://schemas.openxmlformats.org/officeDocument/2006/relationships/customXml" Target="../customXml/item2.xml"/><Relationship Id="rId16" Type="http://schemas.openxmlformats.org/officeDocument/2006/relationships/hyperlink" Target="https://www.procurementjourney.scot/procurement-journe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publiccontractsscotland.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uc-sco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914069ED25AE4583F16E251BA5FCEF" ma:contentTypeVersion="7" ma:contentTypeDescription="Create a new document." ma:contentTypeScope="" ma:versionID="1c88a6fb9058f6324bab07ed49f2bece">
  <xsd:schema xmlns:xsd="http://www.w3.org/2001/XMLSchema" xmlns:xs="http://www.w3.org/2001/XMLSchema" xmlns:p="http://schemas.microsoft.com/office/2006/metadata/properties" xmlns:ns3="67adecfd-e4dc-4c4c-ba14-c14f9815720c" targetNamespace="http://schemas.microsoft.com/office/2006/metadata/properties" ma:root="true" ma:fieldsID="14f9dd0f94ec7fb067dfcfb09f65e5d9" ns3:_="">
    <xsd:import namespace="67adecfd-e4dc-4c4c-ba14-c14f98157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decfd-e4dc-4c4c-ba14-c14f98157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3CB07-47FE-4B9C-9EA7-996072B850F5}">
  <ds:schemaRefs>
    <ds:schemaRef ds:uri="67adecfd-e4dc-4c4c-ba14-c14f9815720c"/>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DE270BDA-3F41-498C-BFB1-AFA984A62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decfd-e4dc-4c4c-ba14-c14f98157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1B6D8-5EFF-4693-A47E-477964431AF5}">
  <ds:schemaRefs>
    <ds:schemaRef ds:uri="http://schemas.microsoft.com/sharepoint/v3/contenttype/forms"/>
  </ds:schemaRefs>
</ds:datastoreItem>
</file>

<file path=customXml/itemProps4.xml><?xml version="1.0" encoding="utf-8"?>
<ds:datastoreItem xmlns:ds="http://schemas.openxmlformats.org/officeDocument/2006/customXml" ds:itemID="{871F1A42-ED3D-4B82-8A96-E90823BA0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1138</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Motherwell College</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MacLeod</dc:creator>
  <cp:lastModifiedBy>Andrew Mulvay</cp:lastModifiedBy>
  <cp:revision>5</cp:revision>
  <cp:lastPrinted>2015-07-31T13:37:00Z</cp:lastPrinted>
  <dcterms:created xsi:type="dcterms:W3CDTF">2021-11-12T13:46:00Z</dcterms:created>
  <dcterms:modified xsi:type="dcterms:W3CDTF">2022-01-20T17:02:00Z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0x010100C5914069ED25AE4583F16E251BA5FCEF</vt:lpwstr>
  </property>
</Properties>
</file>