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16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98"/>
        <w:gridCol w:w="2339"/>
        <w:gridCol w:w="3014"/>
      </w:tblGrid>
      <w:tr w:rsidR="00EC2E9A" w:rsidRPr="00EC2E9A" w14:paraId="49B5FF67" w14:textId="77777777" w:rsidTr="00EC2E9A">
        <w:tc>
          <w:tcPr>
            <w:tcW w:w="9747" w:type="dxa"/>
            <w:gridSpan w:val="4"/>
            <w:shd w:val="clear" w:color="auto" w:fill="auto"/>
          </w:tcPr>
          <w:p w14:paraId="1A5BAAD9" w14:textId="77777777" w:rsidR="00EC2E9A" w:rsidRPr="000B46A4" w:rsidRDefault="00EC2E9A" w:rsidP="00EC2E9A">
            <w:pPr>
              <w:spacing w:after="0" w:line="240" w:lineRule="auto"/>
              <w:jc w:val="center"/>
              <w:rPr>
                <w:rFonts w:eastAsia="Times New Roman" w:cstheme="minorHAnsi"/>
                <w:b/>
                <w:lang w:eastAsia="en-GB"/>
              </w:rPr>
            </w:pPr>
            <w:r w:rsidRPr="000B46A4">
              <w:rPr>
                <w:rFonts w:eastAsia="Times New Roman" w:cstheme="minorHAnsi"/>
                <w:b/>
                <w:color w:val="FF0000"/>
                <w:lang w:eastAsia="en-GB"/>
              </w:rPr>
              <w:t xml:space="preserve">FOR DISCUSSION/INFORMATION </w:t>
            </w:r>
          </w:p>
        </w:tc>
      </w:tr>
      <w:tr w:rsidR="00EC2E9A" w:rsidRPr="00EC2E9A" w14:paraId="26278878" w14:textId="77777777" w:rsidTr="00EC2E9A">
        <w:tc>
          <w:tcPr>
            <w:tcW w:w="9747" w:type="dxa"/>
            <w:gridSpan w:val="4"/>
            <w:shd w:val="clear" w:color="auto" w:fill="auto"/>
          </w:tcPr>
          <w:p w14:paraId="6613F193" w14:textId="72168CE8" w:rsidR="00EC2E9A" w:rsidRPr="000B46A4" w:rsidRDefault="00EC2E9A" w:rsidP="000B46A4">
            <w:pPr>
              <w:spacing w:after="0" w:line="240" w:lineRule="auto"/>
              <w:rPr>
                <w:rFonts w:eastAsia="Times New Roman" w:cstheme="minorHAnsi"/>
                <w:lang w:eastAsia="en-GB"/>
              </w:rPr>
            </w:pPr>
            <w:r w:rsidRPr="000B46A4">
              <w:rPr>
                <w:rFonts w:eastAsia="Times New Roman" w:cstheme="minorHAnsi"/>
                <w:lang w:eastAsia="en-GB"/>
              </w:rPr>
              <w:t xml:space="preserve">Meeting:               </w:t>
            </w:r>
            <w:r w:rsidR="000B46A4">
              <w:rPr>
                <w:rFonts w:eastAsia="Times New Roman" w:cstheme="minorHAnsi"/>
                <w:b/>
                <w:lang w:eastAsia="en-GB"/>
              </w:rPr>
              <w:t xml:space="preserve"> </w:t>
            </w:r>
            <w:r w:rsidR="00712777">
              <w:rPr>
                <w:rFonts w:eastAsia="Times New Roman" w:cstheme="minorHAnsi"/>
                <w:b/>
                <w:lang w:eastAsia="en-GB"/>
              </w:rPr>
              <w:t>Audit &amp; Risk Committee</w:t>
            </w:r>
            <w:r w:rsidR="00746AF2">
              <w:rPr>
                <w:rFonts w:eastAsia="Times New Roman" w:cstheme="minorHAnsi"/>
                <w:b/>
                <w:lang w:eastAsia="en-GB"/>
              </w:rPr>
              <w:t xml:space="preserve"> – 02/09/24</w:t>
            </w:r>
          </w:p>
        </w:tc>
      </w:tr>
      <w:tr w:rsidR="00EC2E9A" w:rsidRPr="00EC2E9A" w14:paraId="2A8279C8" w14:textId="77777777" w:rsidTr="002058FA">
        <w:tc>
          <w:tcPr>
            <w:tcW w:w="1696" w:type="dxa"/>
            <w:shd w:val="clear" w:color="auto" w:fill="auto"/>
          </w:tcPr>
          <w:p w14:paraId="55AB24E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Presented by</w:t>
            </w:r>
          </w:p>
        </w:tc>
        <w:tc>
          <w:tcPr>
            <w:tcW w:w="8051" w:type="dxa"/>
            <w:gridSpan w:val="3"/>
            <w:shd w:val="clear" w:color="auto" w:fill="auto"/>
          </w:tcPr>
          <w:p w14:paraId="21B4A74A" w14:textId="6FCA2959" w:rsidR="00EC2E9A" w:rsidRPr="000B46A4" w:rsidRDefault="00712777" w:rsidP="00EC2E9A">
            <w:pPr>
              <w:spacing w:after="0" w:line="240" w:lineRule="auto"/>
              <w:rPr>
                <w:rFonts w:eastAsia="Times New Roman" w:cstheme="minorHAnsi"/>
                <w:b/>
                <w:lang w:eastAsia="en-GB"/>
              </w:rPr>
            </w:pPr>
            <w:r>
              <w:rPr>
                <w:rFonts w:eastAsia="Times New Roman" w:cstheme="minorHAnsi"/>
                <w:b/>
                <w:lang w:eastAsia="en-GB"/>
              </w:rPr>
              <w:t>Iain Clark</w:t>
            </w:r>
          </w:p>
        </w:tc>
      </w:tr>
      <w:tr w:rsidR="00EC2E9A" w:rsidRPr="00EC2E9A" w14:paraId="566B96A8" w14:textId="77777777" w:rsidTr="002058FA">
        <w:tc>
          <w:tcPr>
            <w:tcW w:w="1696" w:type="dxa"/>
            <w:shd w:val="clear" w:color="auto" w:fill="auto"/>
          </w:tcPr>
          <w:p w14:paraId="6A86B476"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Author/Contact</w:t>
            </w:r>
          </w:p>
        </w:tc>
        <w:tc>
          <w:tcPr>
            <w:tcW w:w="2698" w:type="dxa"/>
            <w:shd w:val="clear" w:color="auto" w:fill="auto"/>
          </w:tcPr>
          <w:p w14:paraId="4CC605A8" w14:textId="72EE7ADC" w:rsidR="00EC2E9A" w:rsidRPr="000B46A4" w:rsidRDefault="00746AF2" w:rsidP="00EC2E9A">
            <w:pPr>
              <w:spacing w:after="0" w:line="240" w:lineRule="auto"/>
              <w:rPr>
                <w:rFonts w:eastAsia="Times New Roman" w:cstheme="minorHAnsi"/>
                <w:b/>
                <w:lang w:eastAsia="en-GB"/>
              </w:rPr>
            </w:pPr>
            <w:r>
              <w:rPr>
                <w:rFonts w:eastAsia="Times New Roman" w:cstheme="minorHAnsi"/>
                <w:b/>
                <w:lang w:eastAsia="en-GB"/>
              </w:rPr>
              <w:t>Iain Clark</w:t>
            </w:r>
          </w:p>
        </w:tc>
        <w:tc>
          <w:tcPr>
            <w:tcW w:w="2339" w:type="dxa"/>
            <w:shd w:val="clear" w:color="auto" w:fill="auto"/>
          </w:tcPr>
          <w:p w14:paraId="63D3E25C"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Department / Unit</w:t>
            </w:r>
          </w:p>
        </w:tc>
        <w:tc>
          <w:tcPr>
            <w:tcW w:w="3014" w:type="dxa"/>
            <w:shd w:val="clear" w:color="auto" w:fill="auto"/>
          </w:tcPr>
          <w:p w14:paraId="529FC594" w14:textId="37BB2202"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Executive</w:t>
            </w:r>
            <w:r w:rsidR="00746AF2">
              <w:rPr>
                <w:rFonts w:eastAsia="Times New Roman" w:cstheme="minorHAnsi"/>
                <w:b/>
                <w:lang w:eastAsia="en-GB"/>
              </w:rPr>
              <w:t xml:space="preserve"> Board</w:t>
            </w:r>
          </w:p>
        </w:tc>
      </w:tr>
      <w:tr w:rsidR="00EC2E9A" w:rsidRPr="00EC2E9A" w14:paraId="0B47AED4" w14:textId="77777777" w:rsidTr="002058FA">
        <w:tc>
          <w:tcPr>
            <w:tcW w:w="1696" w:type="dxa"/>
            <w:shd w:val="clear" w:color="auto" w:fill="auto"/>
          </w:tcPr>
          <w:p w14:paraId="787F8757"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Date Created</w:t>
            </w:r>
          </w:p>
        </w:tc>
        <w:tc>
          <w:tcPr>
            <w:tcW w:w="2698" w:type="dxa"/>
            <w:shd w:val="clear" w:color="auto" w:fill="auto"/>
          </w:tcPr>
          <w:p w14:paraId="4F780C6A" w14:textId="52E7DF28" w:rsidR="00EC2E9A" w:rsidRPr="000B46A4" w:rsidRDefault="009E005D" w:rsidP="000B46A4">
            <w:pPr>
              <w:spacing w:after="0" w:line="240" w:lineRule="auto"/>
              <w:rPr>
                <w:rFonts w:eastAsia="Times New Roman" w:cstheme="minorHAnsi"/>
                <w:b/>
                <w:lang w:eastAsia="en-GB"/>
              </w:rPr>
            </w:pPr>
            <w:r>
              <w:rPr>
                <w:rFonts w:eastAsia="Times New Roman" w:cstheme="minorHAnsi"/>
                <w:b/>
                <w:lang w:eastAsia="en-GB"/>
              </w:rPr>
              <w:t>2</w:t>
            </w:r>
            <w:r w:rsidR="00746AF2">
              <w:rPr>
                <w:rFonts w:eastAsia="Times New Roman" w:cstheme="minorHAnsi"/>
                <w:b/>
                <w:lang w:eastAsia="en-GB"/>
              </w:rPr>
              <w:t>6th</w:t>
            </w:r>
            <w:r w:rsidR="008F6F79">
              <w:rPr>
                <w:rFonts w:eastAsia="Times New Roman" w:cstheme="minorHAnsi"/>
                <w:b/>
                <w:lang w:eastAsia="en-GB"/>
              </w:rPr>
              <w:t xml:space="preserve"> </w:t>
            </w:r>
            <w:r w:rsidR="00627197">
              <w:rPr>
                <w:rFonts w:eastAsia="Times New Roman" w:cstheme="minorHAnsi"/>
                <w:b/>
                <w:lang w:eastAsia="en-GB"/>
              </w:rPr>
              <w:t>August 202</w:t>
            </w:r>
            <w:r w:rsidR="00746AF2">
              <w:rPr>
                <w:rFonts w:eastAsia="Times New Roman" w:cstheme="minorHAnsi"/>
                <w:b/>
                <w:lang w:eastAsia="en-GB"/>
              </w:rPr>
              <w:t>4</w:t>
            </w:r>
          </w:p>
        </w:tc>
        <w:tc>
          <w:tcPr>
            <w:tcW w:w="2339" w:type="dxa"/>
            <w:shd w:val="clear" w:color="auto" w:fill="auto"/>
          </w:tcPr>
          <w:p w14:paraId="4B81296E"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Telephone</w:t>
            </w:r>
          </w:p>
        </w:tc>
        <w:tc>
          <w:tcPr>
            <w:tcW w:w="3014" w:type="dxa"/>
            <w:shd w:val="clear" w:color="auto" w:fill="auto"/>
          </w:tcPr>
          <w:p w14:paraId="351F4285" w14:textId="5C5440CE" w:rsidR="00EC2E9A" w:rsidRPr="000B46A4" w:rsidRDefault="00EC2E9A" w:rsidP="00EC2E9A">
            <w:pPr>
              <w:spacing w:after="0" w:line="240" w:lineRule="auto"/>
              <w:rPr>
                <w:rFonts w:eastAsia="Times New Roman" w:cstheme="minorHAnsi"/>
                <w:b/>
                <w:lang w:eastAsia="en-GB"/>
              </w:rPr>
            </w:pPr>
            <w:r w:rsidRPr="000B46A4">
              <w:rPr>
                <w:rFonts w:eastAsia="Times New Roman" w:cstheme="minorHAnsi"/>
                <w:b/>
                <w:lang w:eastAsia="en-GB"/>
              </w:rPr>
              <w:t xml:space="preserve">Ext </w:t>
            </w:r>
            <w:r w:rsidR="00746AF2">
              <w:rPr>
                <w:rFonts w:eastAsia="Times New Roman" w:cstheme="minorHAnsi"/>
                <w:b/>
                <w:lang w:eastAsia="en-GB"/>
              </w:rPr>
              <w:t>2321</w:t>
            </w:r>
          </w:p>
        </w:tc>
      </w:tr>
      <w:tr w:rsidR="00EC2E9A" w:rsidRPr="00EC2E9A" w14:paraId="32527212" w14:textId="77777777" w:rsidTr="002058FA">
        <w:tc>
          <w:tcPr>
            <w:tcW w:w="1696" w:type="dxa"/>
            <w:shd w:val="clear" w:color="auto" w:fill="auto"/>
          </w:tcPr>
          <w:p w14:paraId="580AAB91" w14:textId="77777777" w:rsidR="00EC2E9A" w:rsidRPr="000B46A4" w:rsidRDefault="00EC2E9A" w:rsidP="00EC2E9A">
            <w:pPr>
              <w:spacing w:after="0" w:line="240" w:lineRule="auto"/>
              <w:rPr>
                <w:rFonts w:eastAsia="Times New Roman" w:cstheme="minorHAnsi"/>
                <w:lang w:eastAsia="en-GB"/>
              </w:rPr>
            </w:pPr>
            <w:r w:rsidRPr="000B46A4">
              <w:rPr>
                <w:rFonts w:eastAsia="Times New Roman" w:cstheme="minorHAnsi"/>
                <w:lang w:eastAsia="en-GB"/>
              </w:rPr>
              <w:t>Appendices Attached</w:t>
            </w:r>
          </w:p>
        </w:tc>
        <w:tc>
          <w:tcPr>
            <w:tcW w:w="8051" w:type="dxa"/>
            <w:gridSpan w:val="3"/>
            <w:shd w:val="clear" w:color="auto" w:fill="auto"/>
          </w:tcPr>
          <w:p w14:paraId="2EE5037A" w14:textId="60283AA4" w:rsidR="00A673F2" w:rsidRPr="00A45A66" w:rsidRDefault="00FD0A6E" w:rsidP="002058FA">
            <w:pPr>
              <w:spacing w:after="0" w:line="240" w:lineRule="auto"/>
              <w:rPr>
                <w:rFonts w:eastAsia="Times New Roman" w:cstheme="minorHAnsi"/>
                <w:b/>
                <w:lang w:eastAsia="en-GB"/>
              </w:rPr>
            </w:pPr>
            <w:r w:rsidRPr="00A45A66">
              <w:rPr>
                <w:rFonts w:eastAsia="Times New Roman" w:cstheme="minorHAnsi"/>
                <w:b/>
                <w:lang w:eastAsia="en-GB"/>
              </w:rPr>
              <w:t xml:space="preserve">OSCR </w:t>
            </w:r>
            <w:r w:rsidR="00FF36A7" w:rsidRPr="00A45A66">
              <w:rPr>
                <w:rFonts w:eastAsia="Times New Roman" w:cstheme="minorHAnsi"/>
                <w:b/>
                <w:lang w:eastAsia="en-GB"/>
              </w:rPr>
              <w:t>-</w:t>
            </w:r>
            <w:r w:rsidR="002058FA" w:rsidRPr="00A45A66">
              <w:rPr>
                <w:rFonts w:eastAsia="Times New Roman" w:cstheme="minorHAnsi"/>
                <w:b/>
                <w:lang w:eastAsia="en-GB"/>
              </w:rPr>
              <w:t xml:space="preserve"> </w:t>
            </w:r>
            <w:r w:rsidR="00FF36A7" w:rsidRPr="00A45A66">
              <w:rPr>
                <w:rFonts w:eastAsia="Times New Roman" w:cstheme="minorHAnsi"/>
                <w:b/>
                <w:lang w:eastAsia="en-GB"/>
              </w:rPr>
              <w:t>Guidance and Good Practice for Charity Trustees June 2024</w:t>
            </w:r>
          </w:p>
          <w:p w14:paraId="72F30C8D" w14:textId="77777777" w:rsidR="00EC2E9A" w:rsidRPr="00A45A66" w:rsidRDefault="00FF36A7" w:rsidP="002058FA">
            <w:pPr>
              <w:spacing w:after="0" w:line="240" w:lineRule="auto"/>
              <w:rPr>
                <w:rFonts w:eastAsia="Times New Roman" w:cstheme="minorHAnsi"/>
                <w:b/>
                <w:lang w:eastAsia="en-GB"/>
              </w:rPr>
            </w:pPr>
            <w:bookmarkStart w:id="0" w:name="_Hlk175568867"/>
            <w:r w:rsidRPr="00A45A66">
              <w:rPr>
                <w:rFonts w:eastAsia="Times New Roman" w:cstheme="minorHAnsi"/>
                <w:b/>
                <w:lang w:eastAsia="en-GB"/>
              </w:rPr>
              <w:t xml:space="preserve">OSCR – Notifiable Events / Concerns April 2024 </w:t>
            </w:r>
            <w:bookmarkEnd w:id="0"/>
          </w:p>
          <w:p w14:paraId="2C64CE7E" w14:textId="657440D5" w:rsidR="00262F79" w:rsidRPr="00A45A66" w:rsidRDefault="00262F79" w:rsidP="002058FA">
            <w:pPr>
              <w:spacing w:after="0" w:line="240" w:lineRule="auto"/>
              <w:rPr>
                <w:rFonts w:eastAsia="Times New Roman" w:cstheme="minorHAnsi"/>
                <w:b/>
                <w:lang w:eastAsia="en-GB"/>
              </w:rPr>
            </w:pPr>
            <w:r w:rsidRPr="00A45A66">
              <w:rPr>
                <w:rFonts w:cstheme="minorHAnsi"/>
                <w:b/>
                <w:bCs/>
              </w:rPr>
              <w:t>CDN Finance Development Network Steering Group – Going Concern Statements August 2024</w:t>
            </w:r>
          </w:p>
        </w:tc>
      </w:tr>
      <w:tr w:rsidR="00EC2E9A" w:rsidRPr="00EC2E9A" w14:paraId="4773D64D" w14:textId="77777777" w:rsidTr="00EC2E9A">
        <w:trPr>
          <w:trHeight w:val="435"/>
        </w:trPr>
        <w:tc>
          <w:tcPr>
            <w:tcW w:w="4394" w:type="dxa"/>
            <w:gridSpan w:val="2"/>
            <w:shd w:val="clear" w:color="auto" w:fill="auto"/>
          </w:tcPr>
          <w:p w14:paraId="1FEEDC28" w14:textId="77777777" w:rsidR="00EC2E9A" w:rsidRPr="000B46A4" w:rsidRDefault="00EC2E9A" w:rsidP="00EC2E9A">
            <w:pPr>
              <w:tabs>
                <w:tab w:val="left" w:pos="1710"/>
              </w:tabs>
              <w:spacing w:after="0" w:line="240" w:lineRule="auto"/>
              <w:ind w:left="1512" w:hanging="1512"/>
              <w:rPr>
                <w:rFonts w:eastAsia="Times New Roman" w:cstheme="minorHAnsi"/>
                <w:lang w:eastAsia="en-GB"/>
              </w:rPr>
            </w:pPr>
            <w:r w:rsidRPr="000B46A4">
              <w:rPr>
                <w:rFonts w:eastAsia="Times New Roman" w:cstheme="minorHAnsi"/>
                <w:lang w:eastAsia="en-GB"/>
              </w:rPr>
              <w:t>Disclosable under FOISA</w:t>
            </w:r>
          </w:p>
        </w:tc>
        <w:tc>
          <w:tcPr>
            <w:tcW w:w="5353" w:type="dxa"/>
            <w:gridSpan w:val="2"/>
            <w:shd w:val="clear" w:color="auto" w:fill="auto"/>
          </w:tcPr>
          <w:p w14:paraId="192A6D66" w14:textId="0764A714" w:rsidR="00794850" w:rsidRDefault="00794850" w:rsidP="00EC2E9A">
            <w:pPr>
              <w:tabs>
                <w:tab w:val="left" w:pos="1710"/>
              </w:tabs>
              <w:spacing w:after="0" w:line="240" w:lineRule="auto"/>
              <w:ind w:left="1512" w:hanging="1512"/>
              <w:rPr>
                <w:rFonts w:eastAsia="Times New Roman" w:cstheme="minorHAnsi"/>
                <w:b/>
                <w:lang w:eastAsia="en-GB"/>
              </w:rPr>
            </w:pPr>
            <w:r>
              <w:rPr>
                <w:rFonts w:eastAsia="Times New Roman" w:cstheme="minorHAnsi"/>
                <w:b/>
                <w:lang w:eastAsia="en-GB"/>
              </w:rPr>
              <w:t>OSCR Documents – Yes</w:t>
            </w:r>
          </w:p>
          <w:p w14:paraId="2980A62D" w14:textId="332EF8AA" w:rsidR="00EC2E9A" w:rsidRPr="000B46A4" w:rsidRDefault="00794850" w:rsidP="00EC2E9A">
            <w:pPr>
              <w:tabs>
                <w:tab w:val="left" w:pos="1710"/>
              </w:tabs>
              <w:spacing w:after="0" w:line="240" w:lineRule="auto"/>
              <w:ind w:left="1512" w:hanging="1512"/>
              <w:rPr>
                <w:rFonts w:eastAsia="Times New Roman" w:cstheme="minorHAnsi"/>
                <w:b/>
                <w:lang w:eastAsia="en-GB"/>
              </w:rPr>
            </w:pPr>
            <w:r>
              <w:rPr>
                <w:rFonts w:eastAsia="Times New Roman" w:cstheme="minorHAnsi"/>
                <w:b/>
                <w:lang w:eastAsia="en-GB"/>
              </w:rPr>
              <w:t xml:space="preserve">Others - </w:t>
            </w:r>
            <w:bookmarkStart w:id="1" w:name="_GoBack"/>
            <w:bookmarkEnd w:id="1"/>
            <w:r w:rsidR="009D0E40">
              <w:rPr>
                <w:rFonts w:eastAsia="Times New Roman" w:cstheme="minorHAnsi"/>
                <w:b/>
                <w:lang w:eastAsia="en-GB"/>
              </w:rPr>
              <w:t>To be advised</w:t>
            </w:r>
          </w:p>
        </w:tc>
      </w:tr>
    </w:tbl>
    <w:p w14:paraId="41F12C87" w14:textId="77777777" w:rsidR="00C272E2" w:rsidRPr="00EC2E9A" w:rsidRDefault="00C272E2" w:rsidP="00C272E2">
      <w:pPr>
        <w:spacing w:after="0" w:line="240" w:lineRule="auto"/>
        <w:rPr>
          <w:rFonts w:ascii="Arial" w:eastAsia="Times New Roman" w:hAnsi="Arial" w:cs="Arial"/>
          <w:lang w:eastAsia="en-GB"/>
        </w:rPr>
      </w:pPr>
    </w:p>
    <w:p w14:paraId="5C4607BD" w14:textId="77777777" w:rsidR="008048A8" w:rsidRPr="007C5376" w:rsidRDefault="00C272E2" w:rsidP="008048A8">
      <w:pPr>
        <w:numPr>
          <w:ilvl w:val="0"/>
          <w:numId w:val="5"/>
        </w:numPr>
        <w:spacing w:after="0" w:line="240" w:lineRule="auto"/>
        <w:ind w:hanging="720"/>
        <w:jc w:val="both"/>
        <w:rPr>
          <w:rFonts w:eastAsia="Times New Roman" w:cstheme="minorHAnsi"/>
          <w:b/>
          <w:lang w:eastAsia="en-GB"/>
        </w:rPr>
      </w:pPr>
      <w:r w:rsidRPr="007C5376">
        <w:rPr>
          <w:rFonts w:eastAsia="Times New Roman" w:cstheme="minorHAnsi"/>
          <w:b/>
          <w:lang w:eastAsia="en-GB"/>
        </w:rPr>
        <w:t>PURPOSE</w:t>
      </w:r>
    </w:p>
    <w:p w14:paraId="05A3CF8E" w14:textId="782FE6B7" w:rsidR="00C272E2" w:rsidRPr="007C5376" w:rsidRDefault="00286C49" w:rsidP="008F6F79">
      <w:pPr>
        <w:spacing w:after="0" w:line="240" w:lineRule="auto"/>
        <w:ind w:left="720"/>
        <w:jc w:val="both"/>
        <w:rPr>
          <w:rFonts w:eastAsia="Times New Roman" w:cstheme="minorHAnsi"/>
          <w:b/>
          <w:lang w:eastAsia="en-GB"/>
        </w:rPr>
      </w:pPr>
      <w:r w:rsidRPr="007C5376">
        <w:rPr>
          <w:rFonts w:eastAsia="Times New Roman" w:cstheme="minorHAnsi"/>
          <w:lang w:eastAsia="en-GB"/>
        </w:rPr>
        <w:t xml:space="preserve">To provide an update </w:t>
      </w:r>
      <w:r w:rsidR="008048A8" w:rsidRPr="007C5376">
        <w:rPr>
          <w:rFonts w:eastAsia="Times New Roman" w:cstheme="minorHAnsi"/>
          <w:lang w:eastAsia="en-GB"/>
        </w:rPr>
        <w:t>on</w:t>
      </w:r>
      <w:r w:rsidRPr="007C5376">
        <w:rPr>
          <w:rFonts w:eastAsia="Times New Roman" w:cstheme="minorHAnsi"/>
          <w:lang w:eastAsia="en-GB"/>
        </w:rPr>
        <w:t xml:space="preserve"> </w:t>
      </w:r>
      <w:r w:rsidR="00FD0A6E">
        <w:rPr>
          <w:rFonts w:eastAsia="Times New Roman" w:cstheme="minorHAnsi"/>
          <w:lang w:eastAsia="en-GB"/>
        </w:rPr>
        <w:t>the Going Concern concept of Accounting</w:t>
      </w:r>
      <w:r w:rsidR="00FF36A7">
        <w:rPr>
          <w:rFonts w:eastAsia="Times New Roman" w:cstheme="minorHAnsi"/>
          <w:lang w:eastAsia="en-GB"/>
        </w:rPr>
        <w:t xml:space="preserve"> in relation to NCL and Public Sector Accounts</w:t>
      </w:r>
      <w:r w:rsidR="00F87BF5">
        <w:rPr>
          <w:rFonts w:eastAsia="Times New Roman" w:cstheme="minorHAnsi"/>
          <w:lang w:eastAsia="en-GB"/>
        </w:rPr>
        <w:t>.</w:t>
      </w:r>
    </w:p>
    <w:p w14:paraId="785E31A8" w14:textId="77777777" w:rsidR="00C272E2" w:rsidRPr="004556F3" w:rsidRDefault="00C272E2" w:rsidP="00C272E2">
      <w:pPr>
        <w:spacing w:after="0" w:line="240" w:lineRule="auto"/>
        <w:ind w:left="720" w:hanging="720"/>
        <w:jc w:val="both"/>
        <w:rPr>
          <w:rFonts w:eastAsia="Times New Roman" w:cstheme="minorHAnsi"/>
          <w:highlight w:val="yellow"/>
          <w:lang w:eastAsia="en-GB"/>
        </w:rPr>
      </w:pPr>
    </w:p>
    <w:p w14:paraId="50A3E747" w14:textId="77777777" w:rsidR="00C272E2" w:rsidRPr="004C7464" w:rsidRDefault="00C272E2" w:rsidP="00C272E2">
      <w:pPr>
        <w:numPr>
          <w:ilvl w:val="0"/>
          <w:numId w:val="5"/>
        </w:numPr>
        <w:spacing w:after="0" w:line="240" w:lineRule="auto"/>
        <w:ind w:hanging="720"/>
        <w:jc w:val="both"/>
        <w:rPr>
          <w:rFonts w:eastAsia="Times New Roman" w:cstheme="minorHAnsi"/>
          <w:b/>
          <w:lang w:eastAsia="en-GB"/>
        </w:rPr>
      </w:pPr>
      <w:r w:rsidRPr="004C7464">
        <w:rPr>
          <w:rFonts w:eastAsia="Times New Roman" w:cstheme="minorHAnsi"/>
          <w:b/>
          <w:lang w:eastAsia="en-GB"/>
        </w:rPr>
        <w:t>BACKGROUND</w:t>
      </w:r>
    </w:p>
    <w:p w14:paraId="3AEC6257" w14:textId="33E305C8" w:rsidR="00C272E2" w:rsidRPr="004C7464" w:rsidRDefault="00FF36A7" w:rsidP="008F6F79">
      <w:pPr>
        <w:spacing w:after="0" w:line="240" w:lineRule="auto"/>
        <w:ind w:left="720"/>
        <w:jc w:val="both"/>
        <w:rPr>
          <w:rFonts w:eastAsia="Times New Roman" w:cstheme="minorHAnsi"/>
          <w:lang w:eastAsia="en-GB"/>
        </w:rPr>
      </w:pPr>
      <w:r>
        <w:rPr>
          <w:rFonts w:eastAsia="Times New Roman" w:cstheme="minorHAnsi"/>
          <w:lang w:eastAsia="en-GB"/>
        </w:rPr>
        <w:t xml:space="preserve">Given the financial position of NCL,  </w:t>
      </w:r>
      <w:r w:rsidR="00FD0A6E">
        <w:rPr>
          <w:rFonts w:eastAsia="Times New Roman" w:cstheme="minorHAnsi"/>
          <w:lang w:eastAsia="en-GB"/>
        </w:rPr>
        <w:t xml:space="preserve">ARC members </w:t>
      </w:r>
      <w:r>
        <w:rPr>
          <w:rFonts w:eastAsia="Times New Roman" w:cstheme="minorHAnsi"/>
          <w:lang w:eastAsia="en-GB"/>
        </w:rPr>
        <w:t xml:space="preserve">were </w:t>
      </w:r>
      <w:r w:rsidR="00FD0A6E">
        <w:rPr>
          <w:rFonts w:eastAsia="Times New Roman" w:cstheme="minorHAnsi"/>
          <w:lang w:eastAsia="en-GB"/>
        </w:rPr>
        <w:t>concerned around the application of NCL as a Going Concern and sought advice from the external Auditors</w:t>
      </w:r>
      <w:r w:rsidR="00741547">
        <w:rPr>
          <w:rFonts w:eastAsia="Times New Roman" w:cstheme="minorHAnsi"/>
          <w:lang w:eastAsia="en-GB"/>
        </w:rPr>
        <w:t xml:space="preserve"> (</w:t>
      </w:r>
      <w:r w:rsidR="00FD0A6E">
        <w:rPr>
          <w:rFonts w:eastAsia="Times New Roman" w:cstheme="minorHAnsi"/>
          <w:lang w:eastAsia="en-GB"/>
        </w:rPr>
        <w:t>Audit Scotland</w:t>
      </w:r>
      <w:r w:rsidR="00741547">
        <w:rPr>
          <w:rFonts w:eastAsia="Times New Roman" w:cstheme="minorHAnsi"/>
          <w:lang w:eastAsia="en-GB"/>
        </w:rPr>
        <w:t>),</w:t>
      </w:r>
      <w:r w:rsidR="00C87985">
        <w:rPr>
          <w:rFonts w:eastAsia="Times New Roman" w:cstheme="minorHAnsi"/>
          <w:lang w:eastAsia="en-GB"/>
        </w:rPr>
        <w:t xml:space="preserve"> </w:t>
      </w:r>
      <w:r w:rsidR="003176A2">
        <w:rPr>
          <w:rFonts w:eastAsia="Times New Roman" w:cstheme="minorHAnsi"/>
          <w:lang w:eastAsia="en-GB"/>
        </w:rPr>
        <w:t>OSCR and the SFC</w:t>
      </w:r>
      <w:r w:rsidR="00C87985">
        <w:rPr>
          <w:rFonts w:eastAsia="Times New Roman" w:cstheme="minorHAnsi"/>
          <w:lang w:eastAsia="en-GB"/>
        </w:rPr>
        <w:t>.</w:t>
      </w:r>
    </w:p>
    <w:p w14:paraId="19856B64" w14:textId="77777777" w:rsidR="00C272E2" w:rsidRPr="004556F3" w:rsidRDefault="00C272E2" w:rsidP="00C272E2">
      <w:pPr>
        <w:spacing w:after="0" w:line="240" w:lineRule="auto"/>
        <w:jc w:val="both"/>
        <w:rPr>
          <w:rFonts w:eastAsia="Times New Roman" w:cstheme="minorHAnsi"/>
          <w:highlight w:val="yellow"/>
          <w:lang w:eastAsia="en-GB"/>
        </w:rPr>
      </w:pPr>
    </w:p>
    <w:p w14:paraId="2E758F41" w14:textId="77777777" w:rsidR="00C272E2" w:rsidRPr="00EF124C" w:rsidRDefault="00C272E2" w:rsidP="00C272E2">
      <w:pPr>
        <w:numPr>
          <w:ilvl w:val="0"/>
          <w:numId w:val="5"/>
        </w:numPr>
        <w:spacing w:after="0" w:line="240" w:lineRule="auto"/>
        <w:ind w:hanging="720"/>
        <w:jc w:val="both"/>
        <w:rPr>
          <w:rFonts w:eastAsia="Times New Roman" w:cstheme="minorHAnsi"/>
          <w:b/>
          <w:lang w:eastAsia="en-GB"/>
        </w:rPr>
      </w:pPr>
      <w:r w:rsidRPr="00EF124C">
        <w:rPr>
          <w:rFonts w:eastAsia="Times New Roman" w:cstheme="minorHAnsi"/>
          <w:b/>
          <w:lang w:eastAsia="en-GB"/>
        </w:rPr>
        <w:t>DETAIL</w:t>
      </w:r>
    </w:p>
    <w:p w14:paraId="6F0585BB" w14:textId="7C72FB4F" w:rsidR="00081FA0" w:rsidRPr="00EF124C" w:rsidRDefault="00C272E2" w:rsidP="00081FA0">
      <w:pPr>
        <w:spacing w:after="0" w:line="240" w:lineRule="auto"/>
        <w:ind w:left="720"/>
        <w:jc w:val="both"/>
        <w:rPr>
          <w:rFonts w:eastAsia="Times New Roman" w:cstheme="minorHAnsi"/>
          <w:b/>
          <w:lang w:eastAsia="en-GB"/>
        </w:rPr>
      </w:pPr>
      <w:r w:rsidRPr="00EF124C">
        <w:rPr>
          <w:rFonts w:eastAsia="Times New Roman" w:cstheme="minorHAnsi"/>
          <w:lang w:eastAsia="en-GB"/>
        </w:rPr>
        <w:t xml:space="preserve">The report </w:t>
      </w:r>
      <w:r w:rsidR="000B46A4" w:rsidRPr="00EF124C">
        <w:rPr>
          <w:rFonts w:eastAsia="Times New Roman" w:cstheme="minorHAnsi"/>
          <w:lang w:eastAsia="en-GB"/>
        </w:rPr>
        <w:t xml:space="preserve">includes updates </w:t>
      </w:r>
      <w:r w:rsidR="00FF36A7">
        <w:rPr>
          <w:rFonts w:eastAsia="Times New Roman" w:cstheme="minorHAnsi"/>
          <w:lang w:eastAsia="en-GB"/>
        </w:rPr>
        <w:t>from</w:t>
      </w:r>
      <w:r w:rsidR="000B46A4" w:rsidRPr="00EF124C">
        <w:rPr>
          <w:rFonts w:eastAsia="Times New Roman" w:cstheme="minorHAnsi"/>
          <w:lang w:eastAsia="en-GB"/>
        </w:rPr>
        <w:t>:</w:t>
      </w:r>
      <w:r w:rsidR="008048A8" w:rsidRPr="00EF124C">
        <w:rPr>
          <w:rFonts w:eastAsia="Times New Roman" w:cstheme="minorHAnsi"/>
          <w:lang w:eastAsia="en-GB"/>
        </w:rPr>
        <w:t xml:space="preserve"> </w:t>
      </w:r>
      <w:r w:rsidRPr="00EF124C">
        <w:rPr>
          <w:rFonts w:eastAsia="Times New Roman" w:cstheme="minorHAnsi"/>
          <w:b/>
          <w:lang w:eastAsia="en-GB"/>
        </w:rPr>
        <w:t xml:space="preserve"> </w:t>
      </w:r>
    </w:p>
    <w:p w14:paraId="4D6C0B22" w14:textId="7B984C9C" w:rsidR="004C656C" w:rsidRDefault="002058FA" w:rsidP="002058FA">
      <w:pPr>
        <w:pStyle w:val="ListParagraph"/>
        <w:numPr>
          <w:ilvl w:val="1"/>
          <w:numId w:val="27"/>
        </w:numPr>
        <w:tabs>
          <w:tab w:val="left" w:pos="1418"/>
        </w:tabs>
        <w:spacing w:after="0" w:line="240" w:lineRule="auto"/>
        <w:rPr>
          <w:rFonts w:eastAsia="Times New Roman" w:cstheme="minorHAnsi"/>
          <w:lang w:eastAsia="en-GB"/>
        </w:rPr>
      </w:pPr>
      <w:r>
        <w:rPr>
          <w:rFonts w:eastAsia="Times New Roman" w:cstheme="minorHAnsi"/>
          <w:lang w:eastAsia="en-GB"/>
        </w:rPr>
        <w:tab/>
      </w:r>
      <w:r w:rsidR="00C87985">
        <w:rPr>
          <w:rFonts w:eastAsia="Times New Roman" w:cstheme="minorHAnsi"/>
          <w:lang w:eastAsia="en-GB"/>
        </w:rPr>
        <w:t>Audit Scotland.</w:t>
      </w:r>
    </w:p>
    <w:p w14:paraId="059DD6EB" w14:textId="1CBFEC18" w:rsidR="008048A8" w:rsidRPr="00DB408E" w:rsidRDefault="00DB408E" w:rsidP="00DB408E">
      <w:pPr>
        <w:pStyle w:val="ListParagraph"/>
        <w:numPr>
          <w:ilvl w:val="1"/>
          <w:numId w:val="27"/>
        </w:numPr>
        <w:tabs>
          <w:tab w:val="left" w:pos="1418"/>
        </w:tabs>
        <w:spacing w:after="0" w:line="240" w:lineRule="auto"/>
        <w:rPr>
          <w:rFonts w:eastAsia="Times New Roman" w:cstheme="minorHAnsi"/>
          <w:lang w:eastAsia="en-GB"/>
        </w:rPr>
      </w:pPr>
      <w:r>
        <w:rPr>
          <w:rFonts w:eastAsia="Times New Roman" w:cstheme="minorHAnsi"/>
          <w:lang w:eastAsia="en-GB"/>
        </w:rPr>
        <w:tab/>
      </w:r>
      <w:r w:rsidR="00FF36A7">
        <w:rPr>
          <w:rFonts w:eastAsia="Times New Roman" w:cstheme="minorHAnsi"/>
          <w:lang w:eastAsia="en-GB"/>
        </w:rPr>
        <w:t>Office of the Scottish Charity Regulator (OSCR)</w:t>
      </w:r>
      <w:r w:rsidR="00C87985">
        <w:rPr>
          <w:rFonts w:eastAsia="Times New Roman" w:cstheme="minorHAnsi"/>
          <w:lang w:eastAsia="en-GB"/>
        </w:rPr>
        <w:t>.</w:t>
      </w:r>
    </w:p>
    <w:p w14:paraId="6D30801D" w14:textId="057AEF12" w:rsidR="00F64B00" w:rsidRPr="00FF36A7" w:rsidRDefault="00FF36A7" w:rsidP="00FF36A7">
      <w:pPr>
        <w:pStyle w:val="ListParagraph"/>
        <w:numPr>
          <w:ilvl w:val="1"/>
          <w:numId w:val="27"/>
        </w:numPr>
        <w:tabs>
          <w:tab w:val="left" w:pos="1418"/>
        </w:tabs>
        <w:spacing w:after="0" w:line="240" w:lineRule="auto"/>
        <w:rPr>
          <w:rFonts w:eastAsia="Times New Roman" w:cstheme="minorHAnsi"/>
          <w:lang w:eastAsia="en-GB"/>
        </w:rPr>
      </w:pPr>
      <w:r>
        <w:rPr>
          <w:rFonts w:eastAsia="Times New Roman" w:cstheme="minorHAnsi"/>
          <w:lang w:eastAsia="en-GB"/>
        </w:rPr>
        <w:t xml:space="preserve">       </w:t>
      </w:r>
      <w:r w:rsidR="00253566">
        <w:rPr>
          <w:rFonts w:eastAsia="Times New Roman" w:cstheme="minorHAnsi"/>
          <w:lang w:eastAsia="en-GB"/>
        </w:rPr>
        <w:t>The Scottish Funding Council</w:t>
      </w:r>
      <w:r w:rsidR="005569E0">
        <w:rPr>
          <w:rFonts w:eastAsia="Times New Roman" w:cstheme="minorHAnsi"/>
          <w:lang w:eastAsia="en-GB"/>
        </w:rPr>
        <w:t xml:space="preserve"> (SFC)</w:t>
      </w:r>
      <w:r>
        <w:rPr>
          <w:rFonts w:eastAsia="Times New Roman" w:cstheme="minorHAnsi"/>
          <w:lang w:eastAsia="en-GB"/>
        </w:rPr>
        <w:t xml:space="preserve"> .</w:t>
      </w:r>
    </w:p>
    <w:p w14:paraId="78242B7D" w14:textId="77777777" w:rsidR="00C272E2" w:rsidRPr="004556F3" w:rsidRDefault="00C272E2" w:rsidP="00C272E2">
      <w:pPr>
        <w:spacing w:after="0" w:line="240" w:lineRule="auto"/>
        <w:ind w:left="720"/>
        <w:jc w:val="both"/>
        <w:rPr>
          <w:rFonts w:eastAsia="Times New Roman" w:cstheme="minorHAnsi"/>
          <w:highlight w:val="yellow"/>
          <w:lang w:eastAsia="en-GB"/>
        </w:rPr>
      </w:pPr>
    </w:p>
    <w:p w14:paraId="1EA55B37" w14:textId="77777777" w:rsidR="00C272E2" w:rsidRPr="004556F3" w:rsidRDefault="00C272E2" w:rsidP="00C272E2">
      <w:pPr>
        <w:numPr>
          <w:ilvl w:val="0"/>
          <w:numId w:val="5"/>
        </w:numPr>
        <w:spacing w:after="0" w:line="240" w:lineRule="auto"/>
        <w:ind w:hanging="720"/>
        <w:rPr>
          <w:rFonts w:eastAsia="Times New Roman" w:cstheme="minorHAnsi"/>
          <w:lang w:eastAsia="en-GB"/>
        </w:rPr>
      </w:pPr>
      <w:r w:rsidRPr="004556F3">
        <w:rPr>
          <w:rFonts w:eastAsia="Times New Roman" w:cstheme="minorHAnsi"/>
          <w:b/>
          <w:lang w:eastAsia="en-GB"/>
        </w:rPr>
        <w:t>STRATEGIC IMPLICATIONS</w:t>
      </w:r>
    </w:p>
    <w:p w14:paraId="48A909BF" w14:textId="5C47AD02" w:rsidR="00C272E2" w:rsidRPr="004556F3" w:rsidRDefault="00C272E2" w:rsidP="00C272E2">
      <w:pPr>
        <w:spacing w:after="0" w:line="240" w:lineRule="auto"/>
        <w:ind w:left="720"/>
        <w:rPr>
          <w:rFonts w:eastAsia="Times New Roman" w:cstheme="minorHAnsi"/>
          <w:lang w:eastAsia="en-GB"/>
        </w:rPr>
      </w:pPr>
      <w:r w:rsidRPr="004556F3">
        <w:rPr>
          <w:rFonts w:eastAsia="Times New Roman" w:cstheme="minorHAnsi"/>
          <w:lang w:eastAsia="en-GB"/>
        </w:rPr>
        <w:t xml:space="preserve">The Board retains </w:t>
      </w:r>
      <w:r w:rsidR="008048A8" w:rsidRPr="004556F3">
        <w:rPr>
          <w:rFonts w:eastAsia="Times New Roman" w:cstheme="minorHAnsi"/>
          <w:lang w:eastAsia="en-GB"/>
        </w:rPr>
        <w:t xml:space="preserve">an overview of NCL </w:t>
      </w:r>
      <w:r w:rsidR="00253566">
        <w:rPr>
          <w:rFonts w:eastAsia="Times New Roman" w:cstheme="minorHAnsi"/>
          <w:lang w:eastAsia="en-GB"/>
        </w:rPr>
        <w:t>governance and compliance</w:t>
      </w:r>
      <w:r w:rsidR="000B46A4" w:rsidRPr="004556F3">
        <w:rPr>
          <w:rFonts w:eastAsia="Times New Roman" w:cstheme="minorHAnsi"/>
          <w:lang w:eastAsia="en-GB"/>
        </w:rPr>
        <w:t>.</w:t>
      </w:r>
      <w:r w:rsidR="008048A8" w:rsidRPr="004556F3">
        <w:rPr>
          <w:rFonts w:eastAsia="Times New Roman" w:cstheme="minorHAnsi"/>
          <w:lang w:eastAsia="en-GB"/>
        </w:rPr>
        <w:t xml:space="preserve"> </w:t>
      </w:r>
      <w:r w:rsidRPr="004556F3">
        <w:rPr>
          <w:rFonts w:eastAsia="Times New Roman" w:cstheme="minorHAnsi"/>
          <w:lang w:eastAsia="en-GB"/>
        </w:rPr>
        <w:t xml:space="preserve"> </w:t>
      </w:r>
    </w:p>
    <w:p w14:paraId="17E7CA24" w14:textId="77777777" w:rsidR="00C272E2" w:rsidRPr="004556F3" w:rsidRDefault="00C272E2" w:rsidP="00C272E2">
      <w:pPr>
        <w:spacing w:after="0" w:line="240" w:lineRule="auto"/>
        <w:jc w:val="both"/>
        <w:rPr>
          <w:rFonts w:eastAsia="Times New Roman" w:cstheme="minorHAnsi"/>
          <w:lang w:eastAsia="en-GB"/>
        </w:rPr>
      </w:pPr>
    </w:p>
    <w:p w14:paraId="3242942E" w14:textId="77777777" w:rsidR="000B46A4" w:rsidRPr="004556F3" w:rsidRDefault="008048A8" w:rsidP="00C272E2">
      <w:pPr>
        <w:numPr>
          <w:ilvl w:val="0"/>
          <w:numId w:val="5"/>
        </w:numPr>
        <w:spacing w:after="0" w:line="240" w:lineRule="auto"/>
        <w:ind w:hanging="720"/>
        <w:jc w:val="both"/>
        <w:rPr>
          <w:rFonts w:eastAsia="Times New Roman" w:cstheme="minorHAnsi"/>
          <w:b/>
          <w:lang w:eastAsia="en-GB"/>
        </w:rPr>
      </w:pPr>
      <w:r w:rsidRPr="004556F3">
        <w:rPr>
          <w:rFonts w:eastAsia="Times New Roman" w:cstheme="minorHAnsi"/>
          <w:b/>
          <w:lang w:eastAsia="en-GB"/>
        </w:rPr>
        <w:t xml:space="preserve">RISK      </w:t>
      </w:r>
    </w:p>
    <w:p w14:paraId="3F3B7F07" w14:textId="5C2A74C7" w:rsidR="00C272E2" w:rsidRPr="00FF36A7" w:rsidRDefault="00841E0E" w:rsidP="000B46A4">
      <w:pPr>
        <w:spacing w:after="0" w:line="240" w:lineRule="auto"/>
        <w:ind w:left="720"/>
        <w:jc w:val="both"/>
        <w:rPr>
          <w:rFonts w:eastAsia="Times New Roman" w:cstheme="minorHAnsi"/>
          <w:lang w:eastAsia="en-GB"/>
        </w:rPr>
      </w:pPr>
      <w:r>
        <w:rPr>
          <w:rFonts w:eastAsia="Times New Roman" w:cstheme="minorHAnsi"/>
          <w:lang w:eastAsia="en-GB"/>
        </w:rPr>
        <w:t xml:space="preserve">Potentially the </w:t>
      </w:r>
      <w:r w:rsidR="00FF36A7" w:rsidRPr="00FF36A7">
        <w:rPr>
          <w:rFonts w:eastAsia="Times New Roman" w:cstheme="minorHAnsi"/>
          <w:lang w:eastAsia="en-GB"/>
        </w:rPr>
        <w:t>College is not trading as a Going Concern and is not declaring this in the Financial Statements. Breach of OSCR Governance.</w:t>
      </w:r>
    </w:p>
    <w:p w14:paraId="688512F8" w14:textId="77777777" w:rsidR="00C272E2" w:rsidRPr="004556F3" w:rsidRDefault="008048A8" w:rsidP="00C272E2">
      <w:pPr>
        <w:spacing w:after="0" w:line="240" w:lineRule="auto"/>
        <w:ind w:right="386"/>
        <w:jc w:val="both"/>
        <w:outlineLvl w:val="0"/>
        <w:rPr>
          <w:rFonts w:eastAsia="Times New Roman" w:cstheme="minorHAnsi"/>
          <w:b/>
          <w:color w:val="000000"/>
          <w:lang w:eastAsia="en-GB"/>
        </w:rPr>
      </w:pPr>
      <w:r w:rsidRPr="004556F3">
        <w:rPr>
          <w:rFonts w:eastAsia="Times New Roman" w:cstheme="minorHAnsi"/>
          <w:b/>
          <w:color w:val="000000"/>
          <w:lang w:eastAsia="en-GB"/>
        </w:rPr>
        <w:t xml:space="preserve">   </w:t>
      </w:r>
    </w:p>
    <w:p w14:paraId="5435B5B8"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FINANCIAL IMPLICATIONS</w:t>
      </w:r>
    </w:p>
    <w:p w14:paraId="57150D81" w14:textId="77777777" w:rsidR="00FF36A7" w:rsidRDefault="00FF36A7" w:rsidP="000B46A4">
      <w:pPr>
        <w:spacing w:after="0" w:line="240" w:lineRule="auto"/>
        <w:ind w:right="386" w:firstLine="720"/>
        <w:rPr>
          <w:rFonts w:eastAsia="Times New Roman" w:cstheme="minorHAnsi"/>
          <w:color w:val="000000"/>
          <w:lang w:eastAsia="en-GB"/>
        </w:rPr>
      </w:pPr>
      <w:r>
        <w:rPr>
          <w:rFonts w:eastAsia="Times New Roman" w:cstheme="minorHAnsi"/>
          <w:color w:val="000000"/>
          <w:lang w:eastAsia="en-GB"/>
        </w:rPr>
        <w:t>None.</w:t>
      </w:r>
    </w:p>
    <w:p w14:paraId="2B8936D3" w14:textId="23BE5023" w:rsidR="000B46A4" w:rsidRPr="004556F3" w:rsidRDefault="00EC2E9A" w:rsidP="000B46A4">
      <w:pPr>
        <w:spacing w:after="0" w:line="240" w:lineRule="auto"/>
        <w:ind w:right="386" w:firstLine="720"/>
        <w:rPr>
          <w:rFonts w:eastAsia="Times New Roman" w:cstheme="minorHAnsi"/>
        </w:rPr>
      </w:pPr>
      <w:r w:rsidRPr="004556F3">
        <w:rPr>
          <w:rFonts w:eastAsia="Times New Roman" w:cstheme="minorHAnsi"/>
        </w:rPr>
        <w:t xml:space="preserve">               </w:t>
      </w:r>
      <w:r w:rsidR="000B46A4" w:rsidRPr="004556F3">
        <w:rPr>
          <w:rFonts w:eastAsia="Times New Roman" w:cstheme="minorHAnsi"/>
        </w:rPr>
        <w:tab/>
      </w:r>
    </w:p>
    <w:p w14:paraId="4A091478" w14:textId="77777777" w:rsidR="00C272E2" w:rsidRPr="004556F3" w:rsidRDefault="00C272E2" w:rsidP="00C272E2">
      <w:pPr>
        <w:numPr>
          <w:ilvl w:val="0"/>
          <w:numId w:val="5"/>
        </w:numPr>
        <w:spacing w:after="0" w:line="240" w:lineRule="auto"/>
        <w:ind w:right="386" w:hanging="720"/>
        <w:jc w:val="both"/>
        <w:outlineLvl w:val="0"/>
        <w:rPr>
          <w:rFonts w:eastAsia="Times New Roman" w:cstheme="minorHAnsi"/>
          <w:b/>
          <w:color w:val="000000"/>
          <w:lang w:eastAsia="en-GB"/>
        </w:rPr>
      </w:pPr>
      <w:r w:rsidRPr="004556F3">
        <w:rPr>
          <w:rFonts w:eastAsia="Times New Roman" w:cstheme="minorHAnsi"/>
          <w:b/>
          <w:color w:val="000000"/>
          <w:lang w:eastAsia="en-GB"/>
        </w:rPr>
        <w:t>LEGAL IMPLICATIONS</w:t>
      </w:r>
    </w:p>
    <w:p w14:paraId="596314F0" w14:textId="5E3CCCBE" w:rsidR="00C272E2" w:rsidRPr="004556F3" w:rsidRDefault="00FF36A7" w:rsidP="00C272E2">
      <w:pPr>
        <w:spacing w:after="0" w:line="240" w:lineRule="auto"/>
        <w:ind w:right="386" w:firstLine="720"/>
        <w:jc w:val="both"/>
        <w:rPr>
          <w:rFonts w:eastAsia="Times New Roman" w:cstheme="minorHAnsi"/>
          <w:lang w:eastAsia="en-GB"/>
        </w:rPr>
      </w:pPr>
      <w:r>
        <w:rPr>
          <w:rFonts w:eastAsia="Times New Roman" w:cstheme="minorHAnsi"/>
          <w:lang w:eastAsia="en-GB"/>
        </w:rPr>
        <w:t>Compliance with Charity Act 2005.</w:t>
      </w:r>
      <w:r w:rsidR="00841E0E">
        <w:rPr>
          <w:rFonts w:eastAsia="Times New Roman" w:cstheme="minorHAnsi"/>
          <w:lang w:eastAsia="en-GB"/>
        </w:rPr>
        <w:t xml:space="preserve"> Compliance with Accounting Standards.</w:t>
      </w:r>
    </w:p>
    <w:p w14:paraId="492710C1" w14:textId="77777777" w:rsidR="00C272E2" w:rsidRPr="004556F3" w:rsidRDefault="00C272E2" w:rsidP="00C272E2">
      <w:pPr>
        <w:suppressAutoHyphens/>
        <w:spacing w:after="0" w:line="240" w:lineRule="auto"/>
        <w:ind w:right="386" w:hanging="720"/>
        <w:jc w:val="both"/>
        <w:rPr>
          <w:rFonts w:eastAsia="Times New Roman" w:cstheme="minorHAnsi"/>
          <w:lang w:eastAsia="en-GB"/>
        </w:rPr>
      </w:pPr>
    </w:p>
    <w:p w14:paraId="7ABAA695"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WORKFORCE IMPLICATIONS</w:t>
      </w:r>
    </w:p>
    <w:p w14:paraId="6595A69A" w14:textId="77777777" w:rsidR="00C272E2" w:rsidRPr="004556F3" w:rsidRDefault="00C272E2" w:rsidP="00C272E2">
      <w:pPr>
        <w:spacing w:after="0" w:line="240" w:lineRule="auto"/>
        <w:ind w:left="720"/>
        <w:jc w:val="both"/>
        <w:rPr>
          <w:rFonts w:eastAsia="Times New Roman" w:cstheme="minorHAnsi"/>
          <w:b/>
        </w:rPr>
      </w:pPr>
      <w:r w:rsidRPr="004556F3">
        <w:rPr>
          <w:rFonts w:eastAsia="Times New Roman" w:cstheme="minorHAnsi"/>
        </w:rPr>
        <w:t>There are no workforce implications</w:t>
      </w:r>
      <w:r w:rsidR="000B46A4" w:rsidRPr="004556F3">
        <w:rPr>
          <w:rFonts w:eastAsia="Times New Roman" w:cstheme="minorHAnsi"/>
        </w:rPr>
        <w:t>.</w:t>
      </w:r>
    </w:p>
    <w:p w14:paraId="3925412E" w14:textId="77777777" w:rsidR="00C272E2" w:rsidRPr="004556F3" w:rsidRDefault="00C272E2" w:rsidP="00C272E2">
      <w:pPr>
        <w:spacing w:after="0" w:line="240" w:lineRule="auto"/>
        <w:ind w:hanging="720"/>
        <w:jc w:val="both"/>
        <w:rPr>
          <w:rFonts w:eastAsia="Times New Roman" w:cstheme="minorHAnsi"/>
        </w:rPr>
      </w:pPr>
    </w:p>
    <w:p w14:paraId="65425661" w14:textId="77777777" w:rsidR="00C272E2" w:rsidRPr="004556F3" w:rsidRDefault="00C272E2" w:rsidP="00C272E2">
      <w:pPr>
        <w:numPr>
          <w:ilvl w:val="0"/>
          <w:numId w:val="5"/>
        </w:numPr>
        <w:spacing w:after="0" w:line="240" w:lineRule="auto"/>
        <w:ind w:hanging="720"/>
        <w:jc w:val="both"/>
        <w:rPr>
          <w:rFonts w:eastAsia="Times New Roman" w:cstheme="minorHAnsi"/>
          <w:b/>
        </w:rPr>
      </w:pPr>
      <w:r w:rsidRPr="004556F3">
        <w:rPr>
          <w:rFonts w:eastAsia="Times New Roman" w:cstheme="minorHAnsi"/>
          <w:b/>
        </w:rPr>
        <w:t xml:space="preserve">REPUTATIONAL IMPLICATIONS </w:t>
      </w:r>
    </w:p>
    <w:p w14:paraId="3CF8AAD2" w14:textId="393B57FB" w:rsidR="00C272E2" w:rsidRPr="004556F3" w:rsidRDefault="00C272E2" w:rsidP="00C272E2">
      <w:pPr>
        <w:spacing w:after="0" w:line="240" w:lineRule="auto"/>
        <w:ind w:firstLine="720"/>
        <w:jc w:val="both"/>
        <w:rPr>
          <w:rFonts w:eastAsia="Times New Roman" w:cstheme="minorHAnsi"/>
        </w:rPr>
      </w:pPr>
      <w:r w:rsidRPr="004556F3">
        <w:rPr>
          <w:rFonts w:eastAsia="Times New Roman" w:cstheme="minorHAnsi"/>
          <w:color w:val="000000"/>
        </w:rPr>
        <w:t xml:space="preserve">There are </w:t>
      </w:r>
      <w:r w:rsidR="00FF36A7">
        <w:rPr>
          <w:rFonts w:eastAsia="Times New Roman" w:cstheme="minorHAnsi"/>
          <w:color w:val="000000"/>
        </w:rPr>
        <w:t xml:space="preserve">potential </w:t>
      </w:r>
      <w:r w:rsidRPr="004556F3">
        <w:rPr>
          <w:rFonts w:eastAsia="Times New Roman" w:cstheme="minorHAnsi"/>
          <w:color w:val="000000"/>
        </w:rPr>
        <w:t>reputational implications</w:t>
      </w:r>
      <w:r w:rsidR="00FF36A7">
        <w:rPr>
          <w:rFonts w:eastAsia="Times New Roman" w:cstheme="minorHAnsi"/>
          <w:color w:val="000000"/>
        </w:rPr>
        <w:t xml:space="preserve"> if not compliant</w:t>
      </w:r>
      <w:r w:rsidR="000B46A4" w:rsidRPr="004556F3">
        <w:rPr>
          <w:rFonts w:eastAsia="Times New Roman" w:cstheme="minorHAnsi"/>
          <w:color w:val="000000"/>
        </w:rPr>
        <w:t>.</w:t>
      </w:r>
    </w:p>
    <w:p w14:paraId="2ABDFD20" w14:textId="77777777" w:rsidR="00C272E2" w:rsidRPr="004556F3" w:rsidRDefault="00C272E2" w:rsidP="00C272E2">
      <w:pPr>
        <w:spacing w:after="0" w:line="240" w:lineRule="auto"/>
        <w:ind w:hanging="720"/>
        <w:jc w:val="both"/>
        <w:rPr>
          <w:rFonts w:eastAsia="Times New Roman" w:cstheme="minorHAnsi"/>
          <w:b/>
        </w:rPr>
      </w:pPr>
    </w:p>
    <w:p w14:paraId="55A48F5D" w14:textId="77777777" w:rsidR="00C272E2" w:rsidRPr="004556F3" w:rsidRDefault="00C272E2" w:rsidP="00C272E2">
      <w:pPr>
        <w:numPr>
          <w:ilvl w:val="0"/>
          <w:numId w:val="5"/>
        </w:numPr>
        <w:spacing w:after="0" w:line="240" w:lineRule="auto"/>
        <w:ind w:hanging="720"/>
        <w:jc w:val="both"/>
        <w:rPr>
          <w:rFonts w:eastAsia="Times New Roman" w:cstheme="minorHAnsi"/>
          <w:b/>
          <w:color w:val="000000"/>
        </w:rPr>
      </w:pPr>
      <w:r w:rsidRPr="004556F3">
        <w:rPr>
          <w:rFonts w:eastAsia="Times New Roman" w:cstheme="minorHAnsi"/>
          <w:b/>
        </w:rPr>
        <w:t>EQUALITIES IMPLICATIONS</w:t>
      </w:r>
    </w:p>
    <w:p w14:paraId="251CBB5A" w14:textId="77777777" w:rsidR="00C272E2" w:rsidRPr="004556F3" w:rsidRDefault="00C272E2" w:rsidP="00C272E2">
      <w:pPr>
        <w:suppressAutoHyphens/>
        <w:spacing w:after="0" w:line="240" w:lineRule="auto"/>
        <w:ind w:firstLine="720"/>
        <w:jc w:val="both"/>
        <w:rPr>
          <w:rFonts w:eastAsia="Times New Roman" w:cstheme="minorHAnsi"/>
          <w:color w:val="000000"/>
          <w:lang w:eastAsia="en-GB"/>
        </w:rPr>
      </w:pPr>
      <w:r w:rsidRPr="004556F3">
        <w:rPr>
          <w:rFonts w:eastAsia="Times New Roman" w:cstheme="minorHAnsi"/>
          <w:color w:val="000000"/>
          <w:lang w:eastAsia="en-GB"/>
        </w:rPr>
        <w:t>There are no equalities implications</w:t>
      </w:r>
      <w:r w:rsidR="000B46A4" w:rsidRPr="004556F3">
        <w:rPr>
          <w:rFonts w:eastAsia="Times New Roman" w:cstheme="minorHAnsi"/>
          <w:color w:val="000000"/>
          <w:lang w:eastAsia="en-GB"/>
        </w:rPr>
        <w:t>.</w:t>
      </w:r>
    </w:p>
    <w:tbl>
      <w:tblPr>
        <w:tblpPr w:leftFromText="180" w:rightFromText="180" w:vertAnchor="text" w:horzAnchor="margin" w:tblpY="20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tblGrid>
      <w:tr w:rsidR="00C272E2" w:rsidRPr="004556F3" w14:paraId="42E89747" w14:textId="77777777" w:rsidTr="006A4214">
        <w:tc>
          <w:tcPr>
            <w:tcW w:w="9067" w:type="dxa"/>
          </w:tcPr>
          <w:p w14:paraId="5A4C39FE" w14:textId="77777777" w:rsidR="00C272E2" w:rsidRPr="004556F3" w:rsidRDefault="00C272E2" w:rsidP="00C272E2">
            <w:pPr>
              <w:spacing w:after="0" w:line="240" w:lineRule="auto"/>
              <w:jc w:val="both"/>
              <w:rPr>
                <w:rFonts w:eastAsia="Times New Roman" w:cstheme="minorHAnsi"/>
                <w:b/>
                <w:color w:val="000000"/>
                <w:lang w:eastAsia="en-GB"/>
              </w:rPr>
            </w:pPr>
            <w:r w:rsidRPr="004556F3">
              <w:rPr>
                <w:rFonts w:eastAsia="Times New Roman" w:cstheme="minorHAnsi"/>
                <w:b/>
                <w:color w:val="000000"/>
                <w:lang w:eastAsia="en-GB"/>
              </w:rPr>
              <w:t>CONCLUSIONS/RECOMMENDATIONS</w:t>
            </w:r>
          </w:p>
          <w:p w14:paraId="3959BE5C" w14:textId="62602838" w:rsidR="0037145F" w:rsidRPr="004556F3" w:rsidRDefault="004438E8" w:rsidP="000B46A4">
            <w:pPr>
              <w:spacing w:after="0" w:line="240" w:lineRule="auto"/>
              <w:jc w:val="both"/>
              <w:rPr>
                <w:rFonts w:ascii="Arial" w:eastAsia="Times New Roman" w:hAnsi="Arial" w:cs="Arial"/>
                <w:highlight w:val="yellow"/>
                <w:lang w:eastAsia="en-GB"/>
              </w:rPr>
            </w:pPr>
            <w:r>
              <w:rPr>
                <w:rFonts w:eastAsia="Times New Roman" w:cstheme="minorHAnsi"/>
                <w:color w:val="000000"/>
                <w:lang w:eastAsia="en-GB"/>
              </w:rPr>
              <w:lastRenderedPageBreak/>
              <w:t>ARC</w:t>
            </w:r>
            <w:r w:rsidR="00C272E2" w:rsidRPr="004556F3">
              <w:rPr>
                <w:rFonts w:eastAsia="Times New Roman" w:cstheme="minorHAnsi"/>
                <w:color w:val="000000"/>
                <w:lang w:eastAsia="en-GB"/>
              </w:rPr>
              <w:t xml:space="preserve"> is asked to note the information contained in this report and raise or discuss any issues.</w:t>
            </w:r>
          </w:p>
        </w:tc>
      </w:tr>
    </w:tbl>
    <w:p w14:paraId="7000600C" w14:textId="77777777" w:rsidR="00EF124C" w:rsidRDefault="00EF124C" w:rsidP="000B46A4">
      <w:pPr>
        <w:spacing w:after="0" w:line="240" w:lineRule="auto"/>
        <w:rPr>
          <w:rFonts w:eastAsia="Times New Roman" w:cstheme="minorHAnsi"/>
          <w:b/>
          <w:color w:val="000000"/>
          <w:lang w:eastAsia="en-GB"/>
        </w:rPr>
      </w:pPr>
      <w:bookmarkStart w:id="2" w:name="_Hlk528565625"/>
    </w:p>
    <w:p w14:paraId="2CA4E3A2" w14:textId="77777777" w:rsidR="004438E8" w:rsidRDefault="004438E8" w:rsidP="000B46A4">
      <w:pPr>
        <w:spacing w:after="0" w:line="240" w:lineRule="auto"/>
        <w:rPr>
          <w:rFonts w:eastAsia="Times New Roman" w:cstheme="minorHAnsi"/>
          <w:b/>
          <w:color w:val="000000"/>
          <w:lang w:eastAsia="en-GB"/>
        </w:rPr>
      </w:pPr>
    </w:p>
    <w:p w14:paraId="37796AB6" w14:textId="1DF3CA4E" w:rsidR="0037145F" w:rsidRPr="00ED7459" w:rsidRDefault="0037145F" w:rsidP="000B46A4">
      <w:pPr>
        <w:spacing w:after="0" w:line="240" w:lineRule="auto"/>
        <w:rPr>
          <w:rFonts w:eastAsia="Times New Roman" w:cstheme="minorHAnsi"/>
          <w:b/>
          <w:color w:val="000000"/>
          <w:lang w:eastAsia="en-GB"/>
        </w:rPr>
      </w:pPr>
      <w:r w:rsidRPr="00ED7459">
        <w:rPr>
          <w:rFonts w:eastAsia="Times New Roman" w:cstheme="minorHAnsi"/>
          <w:b/>
          <w:color w:val="000000"/>
          <w:lang w:eastAsia="en-GB"/>
        </w:rPr>
        <w:t>Detail from Summary</w:t>
      </w:r>
    </w:p>
    <w:bookmarkEnd w:id="2"/>
    <w:p w14:paraId="47FF8C60" w14:textId="77777777" w:rsidR="0037145F" w:rsidRPr="00ED7459" w:rsidRDefault="0037145F" w:rsidP="000B46A4">
      <w:pPr>
        <w:spacing w:after="0" w:line="240" w:lineRule="auto"/>
        <w:rPr>
          <w:rFonts w:eastAsia="Times New Roman" w:cstheme="minorHAnsi"/>
          <w:color w:val="000000"/>
          <w:lang w:eastAsia="en-GB"/>
        </w:rPr>
      </w:pPr>
    </w:p>
    <w:p w14:paraId="21A20D06" w14:textId="1C9E1CC7" w:rsidR="00AE3ADA" w:rsidRPr="00F87BF5" w:rsidRDefault="00F87BF5" w:rsidP="00F87BF5">
      <w:pPr>
        <w:pStyle w:val="ListParagraph"/>
        <w:numPr>
          <w:ilvl w:val="1"/>
          <w:numId w:val="31"/>
        </w:numPr>
        <w:spacing w:after="0" w:line="240" w:lineRule="auto"/>
        <w:rPr>
          <w:rFonts w:eastAsia="Times New Roman" w:cstheme="minorHAnsi"/>
          <w:b/>
          <w:color w:val="0070C0"/>
          <w:lang w:eastAsia="en-GB"/>
        </w:rPr>
      </w:pPr>
      <w:bookmarkStart w:id="3" w:name="_Hlk118223361"/>
      <w:bookmarkStart w:id="4" w:name="_Hlk118224635"/>
      <w:r>
        <w:rPr>
          <w:rFonts w:eastAsia="Times New Roman" w:cstheme="minorHAnsi"/>
          <w:b/>
          <w:color w:val="0070C0"/>
          <w:lang w:eastAsia="en-GB"/>
        </w:rPr>
        <w:t xml:space="preserve">  </w:t>
      </w:r>
      <w:r w:rsidR="00C87985" w:rsidRPr="00F87BF5">
        <w:rPr>
          <w:rFonts w:eastAsia="Times New Roman" w:cstheme="minorHAnsi"/>
          <w:b/>
          <w:color w:val="0070C0"/>
          <w:lang w:eastAsia="en-GB"/>
        </w:rPr>
        <w:t>View from Audit Scotland</w:t>
      </w:r>
    </w:p>
    <w:p w14:paraId="71342944" w14:textId="21F299EE" w:rsidR="00AE3ADA" w:rsidRDefault="00AE3ADA" w:rsidP="00AE3ADA">
      <w:pPr>
        <w:spacing w:after="0" w:line="240" w:lineRule="auto"/>
        <w:rPr>
          <w:rFonts w:eastAsia="Times New Roman" w:cstheme="minorHAnsi"/>
          <w:b/>
          <w:color w:val="0070C0"/>
          <w:lang w:eastAsia="en-GB"/>
        </w:rPr>
      </w:pPr>
    </w:p>
    <w:p w14:paraId="7308103B" w14:textId="403444AE" w:rsidR="00FD4987" w:rsidRDefault="00FD4987" w:rsidP="00AE3ADA">
      <w:pPr>
        <w:spacing w:after="0" w:line="240" w:lineRule="auto"/>
        <w:rPr>
          <w:rFonts w:eastAsia="Times New Roman" w:cstheme="minorHAnsi"/>
          <w:b/>
          <w:color w:val="0070C0"/>
          <w:lang w:eastAsia="en-GB"/>
        </w:rPr>
      </w:pPr>
      <w:r>
        <w:rPr>
          <w:rFonts w:eastAsia="Times New Roman" w:cstheme="minorHAnsi"/>
          <w:b/>
          <w:color w:val="0070C0"/>
          <w:lang w:eastAsia="en-GB"/>
        </w:rPr>
        <w:t xml:space="preserve">After discussion at the ARC </w:t>
      </w:r>
      <w:r w:rsidR="005569E0">
        <w:rPr>
          <w:rFonts w:eastAsia="Times New Roman" w:cstheme="minorHAnsi"/>
          <w:b/>
          <w:color w:val="0070C0"/>
          <w:lang w:eastAsia="en-GB"/>
        </w:rPr>
        <w:t xml:space="preserve">on </w:t>
      </w:r>
      <w:r>
        <w:rPr>
          <w:rFonts w:eastAsia="Times New Roman" w:cstheme="minorHAnsi"/>
          <w:b/>
          <w:color w:val="0070C0"/>
          <w:lang w:eastAsia="en-GB"/>
        </w:rPr>
        <w:t>13</w:t>
      </w:r>
      <w:r w:rsidRPr="00FD4987">
        <w:rPr>
          <w:rFonts w:eastAsia="Times New Roman" w:cstheme="minorHAnsi"/>
          <w:b/>
          <w:color w:val="0070C0"/>
          <w:vertAlign w:val="superscript"/>
          <w:lang w:eastAsia="en-GB"/>
        </w:rPr>
        <w:t>th</w:t>
      </w:r>
      <w:r>
        <w:rPr>
          <w:rFonts w:eastAsia="Times New Roman" w:cstheme="minorHAnsi"/>
          <w:b/>
          <w:color w:val="0070C0"/>
          <w:lang w:eastAsia="en-GB"/>
        </w:rPr>
        <w:t xml:space="preserve"> May 2024 a follow-up was requested of Audit Scotland and the response came in an email from Louisa Yule (Audit Scotland)  </w:t>
      </w:r>
      <w:r w:rsidRPr="00FD4987">
        <w:rPr>
          <w:rFonts w:eastAsia="Times New Roman" w:cstheme="minorHAnsi"/>
          <w:b/>
          <w:color w:val="0070C0"/>
          <w:lang w:eastAsia="en-GB"/>
        </w:rPr>
        <w:t>Fri 17/05/2024 13:40</w:t>
      </w:r>
    </w:p>
    <w:p w14:paraId="6A802770" w14:textId="77777777" w:rsidR="00FD4987" w:rsidRDefault="00FD4987" w:rsidP="00AE3ADA">
      <w:pPr>
        <w:spacing w:after="0" w:line="240" w:lineRule="auto"/>
        <w:rPr>
          <w:rFonts w:eastAsia="Times New Roman" w:cstheme="minorHAnsi"/>
          <w:b/>
          <w:color w:val="0070C0"/>
          <w:lang w:eastAsia="en-GB"/>
        </w:rPr>
      </w:pPr>
    </w:p>
    <w:p w14:paraId="6910427D" w14:textId="4E556B62" w:rsidR="00C87985" w:rsidRPr="00C87985" w:rsidRDefault="00F87BF5" w:rsidP="00C87985">
      <w:pPr>
        <w:rPr>
          <w:rFonts w:eastAsia="Times New Roman" w:cstheme="minorHAnsi"/>
          <w:color w:val="000000"/>
          <w:lang w:eastAsia="en-GB"/>
        </w:rPr>
      </w:pPr>
      <w:r>
        <w:rPr>
          <w:rFonts w:eastAsia="Times New Roman" w:cstheme="minorHAnsi"/>
          <w:color w:val="000000"/>
          <w:lang w:eastAsia="en-GB"/>
        </w:rPr>
        <w:t>“</w:t>
      </w:r>
      <w:r w:rsidR="00C87985" w:rsidRPr="00C87985">
        <w:rPr>
          <w:rFonts w:eastAsia="Times New Roman" w:cstheme="minorHAnsi"/>
          <w:color w:val="000000"/>
          <w:lang w:eastAsia="en-GB"/>
        </w:rPr>
        <w:t>Good afternoon Iain and Diane,</w:t>
      </w:r>
    </w:p>
    <w:p w14:paraId="668D6CED" w14:textId="77777777" w:rsidR="00F87BF5" w:rsidRDefault="00C87985" w:rsidP="00C87985">
      <w:pPr>
        <w:rPr>
          <w:rFonts w:eastAsia="Times New Roman" w:cstheme="minorHAnsi"/>
          <w:color w:val="000000"/>
          <w:lang w:eastAsia="en-GB"/>
        </w:rPr>
      </w:pPr>
      <w:r w:rsidRPr="00C87985">
        <w:rPr>
          <w:rFonts w:eastAsia="Times New Roman" w:cstheme="minorHAnsi"/>
          <w:color w:val="000000"/>
          <w:lang w:eastAsia="en-GB"/>
        </w:rPr>
        <w:t>Following on from the ARC meeting on Monday, I have followed up on the going concern question raised.</w:t>
      </w:r>
    </w:p>
    <w:p w14:paraId="481700AE" w14:textId="2EB16571"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There were no conversations with OSCR on the preparation of the cross-sector going concern guidance.</w:t>
      </w:r>
    </w:p>
    <w:p w14:paraId="556FB1E2" w14:textId="357E1143"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 I did speak with Professional Support colleagues who did direct me to some guidance around principles for the college/board: </w:t>
      </w:r>
    </w:p>
    <w:p w14:paraId="0627E6E7" w14:textId="3AF5916B"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 Being a going concern means being able to use the going concern basis of accounting</w:t>
      </w:r>
    </w:p>
    <w:p w14:paraId="681D38B6" w14:textId="0872B2FC"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 For public bodies, the continued delivery of the service is relevant to the ability to use the going concern basis of accounting; but the continued existence of the public body itself is not relevant (provided the service will continue to be delivered by another public body)</w:t>
      </w:r>
    </w:p>
    <w:p w14:paraId="09B2C0A2" w14:textId="68900D36" w:rsidR="00C87985" w:rsidRDefault="00C87985" w:rsidP="00C87985">
      <w:pPr>
        <w:rPr>
          <w:rFonts w:eastAsia="Times New Roman" w:cstheme="minorHAnsi"/>
          <w:color w:val="000000"/>
          <w:lang w:eastAsia="en-GB"/>
        </w:rPr>
      </w:pPr>
      <w:r w:rsidRPr="00C87985">
        <w:rPr>
          <w:rFonts w:eastAsia="Times New Roman" w:cstheme="minorHAnsi"/>
          <w:color w:val="000000"/>
          <w:lang w:eastAsia="en-GB"/>
        </w:rPr>
        <w:t> Paragraph 3.27 of the Accounting for Education and Higher Education SORP notes that colleges normally prepare their financial statements using the going concern basis of accounting. However, it requires the governing body to make its own assessment of the college’s ability to continue to do so. Extract from SORP noted below:</w:t>
      </w:r>
    </w:p>
    <w:p w14:paraId="4907E256" w14:textId="36D39268" w:rsidR="00C87985" w:rsidRDefault="00C87985" w:rsidP="00C87985">
      <w:pPr>
        <w:rPr>
          <w:rFonts w:eastAsia="Times New Roman" w:cstheme="minorHAnsi"/>
          <w:i/>
          <w:iCs/>
          <w:color w:val="000000"/>
          <w:lang w:eastAsia="en-GB"/>
        </w:rPr>
      </w:pPr>
      <w:r w:rsidRPr="00C87985">
        <w:rPr>
          <w:rFonts w:eastAsia="Times New Roman" w:cstheme="minorHAnsi"/>
          <w:i/>
          <w:iCs/>
          <w:color w:val="000000"/>
          <w:lang w:eastAsia="en-GB"/>
        </w:rPr>
        <w:t>"Institutions normally prepare their accounts on the basis of being a going concern. The governing body must make its own assessment of the institution’s ability to continue as a going concern to assure itself of the validity of this assumption when preparing the accounts. In making this assessment, an institution’s governing body must take into account all available information about the future for at least, but not limited to, 12 months from the date on which the accounts are approved".</w:t>
      </w:r>
    </w:p>
    <w:p w14:paraId="3CCFADAA" w14:textId="400EA6FB" w:rsidR="00C87985" w:rsidRDefault="00C87985" w:rsidP="00C87985">
      <w:pPr>
        <w:rPr>
          <w:rFonts w:eastAsia="Times New Roman" w:cstheme="minorHAnsi"/>
          <w:color w:val="000000"/>
          <w:lang w:eastAsia="en-GB"/>
        </w:rPr>
      </w:pPr>
      <w:r w:rsidRPr="00C87985">
        <w:rPr>
          <w:rFonts w:eastAsia="Times New Roman" w:cstheme="minorHAnsi"/>
          <w:color w:val="000000"/>
          <w:lang w:eastAsia="en-GB"/>
        </w:rPr>
        <w:t>Audit Scotland's guidance to auditors explains that the FReM’s interpretation of going concern for non-trading entities applies to colleges, i.e. the anticipated continuation of the provision of further education is normally sufficient evidence. The college’s financial position is of course relevant to its own financial sustainability but not to the financial sustainability of the delivery of the further education service. It’s not therefore relevant to the appropriateness of the going concern basis of accounting as even if the Scottish Government wound up that particular college, the assets of that college would simply transfer at their carrying amount to another college or colleges.  Extract of guidance noted below, with the two most relevant paragraphs in bold.</w:t>
      </w:r>
    </w:p>
    <w:p w14:paraId="4DC7D424" w14:textId="77777777" w:rsidR="00C87985" w:rsidRPr="00C87985" w:rsidRDefault="00C87985" w:rsidP="00C87985">
      <w:pPr>
        <w:rPr>
          <w:rFonts w:eastAsia="Times New Roman" w:cstheme="minorHAnsi"/>
          <w:color w:val="000000"/>
          <w:lang w:eastAsia="en-GB"/>
        </w:rPr>
      </w:pPr>
      <w:r w:rsidRPr="00C87985">
        <w:rPr>
          <w:rFonts w:eastAsia="Times New Roman" w:cstheme="minorHAnsi"/>
          <w:i/>
          <w:iCs/>
          <w:color w:val="000000"/>
          <w:lang w:eastAsia="en-GB"/>
        </w:rPr>
        <w:lastRenderedPageBreak/>
        <w:t>Going concern basis of accounting is not appropriate</w:t>
      </w:r>
    </w:p>
    <w:p w14:paraId="6BE3DDBD" w14:textId="77777777" w:rsidR="00C87985" w:rsidRPr="00C87985" w:rsidRDefault="00C87985" w:rsidP="00C87985">
      <w:pPr>
        <w:rPr>
          <w:rFonts w:eastAsia="Times New Roman" w:cstheme="minorHAnsi"/>
          <w:color w:val="000000"/>
          <w:lang w:eastAsia="en-GB"/>
        </w:rPr>
      </w:pPr>
      <w:r w:rsidRPr="00C87985">
        <w:rPr>
          <w:rFonts w:eastAsia="Times New Roman" w:cstheme="minorHAnsi"/>
          <w:i/>
          <w:iCs/>
          <w:color w:val="000000"/>
          <w:lang w:eastAsia="en-GB"/>
        </w:rPr>
        <w:t>Under the going concern basis of accounting, the financial statements are prepared on the assumption that the services delivered by the body will continue for the foreseeable future. Assets and liabilities are recorded on the basis that the body will be able to realise its assets and discharge its liabilities in the normal course of business. This contrasts with a ‘break up’ basis which is required if a body’s operations cease suddenly and consequently the recoverable values of its assets may be significantly less than the carrying amount in the balance sheet.</w:t>
      </w:r>
    </w:p>
    <w:p w14:paraId="6C09FAA7" w14:textId="77777777" w:rsidR="00C87985" w:rsidRPr="00C87985" w:rsidRDefault="00C87985" w:rsidP="00C87985">
      <w:pPr>
        <w:rPr>
          <w:rFonts w:eastAsia="Times New Roman" w:cstheme="minorHAnsi"/>
          <w:color w:val="000000"/>
          <w:lang w:eastAsia="en-GB"/>
        </w:rPr>
      </w:pPr>
      <w:r w:rsidRPr="00C87985">
        <w:rPr>
          <w:rFonts w:eastAsia="Times New Roman" w:cstheme="minorHAnsi"/>
          <w:b/>
          <w:bCs/>
          <w:i/>
          <w:iCs/>
          <w:color w:val="000000"/>
          <w:lang w:eastAsia="en-GB"/>
        </w:rPr>
        <w:t>The concept of going concern applies in the public sector but in a different way to the private sector. A key difference is that when assessing whether the going concern basis of accounting is appropriate for a public body, the anticipated continued provision of the services is more relevant to the assessment than the continued existence of the particular body itself. Practice Note 10 provides guidance on applying ISA (UK) 570 Going Concern to the audit of public bodies. Auditors should determine a proportionate approach based on the body’s circumstances and the financial reporting framework.</w:t>
      </w:r>
    </w:p>
    <w:p w14:paraId="4FE007A8" w14:textId="77777777" w:rsidR="00C87985" w:rsidRPr="00C87985" w:rsidRDefault="00C87985" w:rsidP="00C87985">
      <w:pPr>
        <w:rPr>
          <w:rFonts w:eastAsia="Times New Roman" w:cstheme="minorHAnsi"/>
          <w:color w:val="000000"/>
          <w:lang w:eastAsia="en-GB"/>
        </w:rPr>
      </w:pPr>
      <w:r w:rsidRPr="00C87985">
        <w:rPr>
          <w:rFonts w:eastAsia="Times New Roman" w:cstheme="minorHAnsi"/>
          <w:b/>
          <w:bCs/>
          <w:i/>
          <w:iCs/>
          <w:color w:val="000000"/>
          <w:lang w:eastAsia="en-GB"/>
        </w:rPr>
        <w:t xml:space="preserve">Section 8.2 of the FReM interprets the requirements of IAS 1 in respect of going concern and states that the anticipated continuation of the provision of the service, as evidenced by inclusion of financial provision for that service in published documents, is normally sufficient evidence of going concern. </w:t>
      </w:r>
      <w:bookmarkStart w:id="5" w:name="_Hlk175571788"/>
      <w:r w:rsidRPr="00C87985">
        <w:rPr>
          <w:rFonts w:eastAsia="Times New Roman" w:cstheme="minorHAnsi"/>
          <w:b/>
          <w:bCs/>
          <w:i/>
          <w:iCs/>
          <w:color w:val="000000"/>
          <w:lang w:eastAsia="en-GB"/>
        </w:rPr>
        <w:t>It also clarifies that bodies with total net liabilities should prepare their financial statements on the going concern basis unless the sponsor department deems that inappropriate.</w:t>
      </w:r>
    </w:p>
    <w:bookmarkEnd w:id="5"/>
    <w:p w14:paraId="7537640C" w14:textId="77777777" w:rsidR="00C87985" w:rsidRPr="00C87985" w:rsidRDefault="00C87985" w:rsidP="00C87985">
      <w:pPr>
        <w:rPr>
          <w:rFonts w:eastAsia="Times New Roman" w:cstheme="minorHAnsi"/>
          <w:color w:val="000000"/>
          <w:lang w:eastAsia="en-GB"/>
        </w:rPr>
      </w:pPr>
      <w:r w:rsidRPr="00C87985">
        <w:rPr>
          <w:rFonts w:eastAsia="Times New Roman" w:cstheme="minorHAnsi"/>
          <w:i/>
          <w:iCs/>
          <w:color w:val="000000"/>
          <w:lang w:eastAsia="en-GB"/>
        </w:rPr>
        <w:t>The assessment of whether the going concern basis of accounting is appropriate is therefore very straight-forward in the majority of cases. There is no need for any detailed cash-flow projections that are necessary for a business in the private sector.</w:t>
      </w:r>
    </w:p>
    <w:p w14:paraId="298C77F6" w14:textId="77777777"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Hope this helps.</w:t>
      </w:r>
    </w:p>
    <w:p w14:paraId="78FCD23A" w14:textId="77777777"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Kind regards</w:t>
      </w:r>
    </w:p>
    <w:p w14:paraId="7A4B8652" w14:textId="77777777" w:rsidR="00C87985" w:rsidRPr="00C87985" w:rsidRDefault="00C87985" w:rsidP="00C87985">
      <w:pPr>
        <w:rPr>
          <w:rFonts w:eastAsia="Times New Roman" w:cstheme="minorHAnsi"/>
          <w:color w:val="000000"/>
          <w:lang w:eastAsia="en-GB"/>
        </w:rPr>
      </w:pPr>
      <w:r w:rsidRPr="00C87985">
        <w:rPr>
          <w:rFonts w:eastAsia="Times New Roman" w:cstheme="minorHAnsi"/>
          <w:color w:val="000000"/>
          <w:lang w:eastAsia="en-GB"/>
        </w:rPr>
        <w:t>Louisa</w:t>
      </w:r>
    </w:p>
    <w:p w14:paraId="0E8FF973" w14:textId="77777777" w:rsidR="00AE3ADA" w:rsidRDefault="00AE3ADA" w:rsidP="00AE3ADA">
      <w:pPr>
        <w:spacing w:after="0" w:line="240" w:lineRule="auto"/>
        <w:rPr>
          <w:rFonts w:eastAsia="Times New Roman" w:cstheme="minorHAnsi"/>
          <w:lang w:eastAsia="en-GB"/>
        </w:rPr>
      </w:pPr>
    </w:p>
    <w:p w14:paraId="3D40C7B4" w14:textId="4F8AEB5D" w:rsidR="00AE3ADA" w:rsidRDefault="005717A3" w:rsidP="00F87BF5">
      <w:pPr>
        <w:pStyle w:val="ListParagraph"/>
        <w:numPr>
          <w:ilvl w:val="1"/>
          <w:numId w:val="31"/>
        </w:numPr>
        <w:spacing w:after="0" w:line="240" w:lineRule="auto"/>
        <w:ind w:left="567" w:hanging="567"/>
        <w:rPr>
          <w:rFonts w:eastAsia="Times New Roman" w:cstheme="minorHAnsi"/>
          <w:b/>
          <w:color w:val="0070C0"/>
          <w:lang w:eastAsia="en-GB"/>
        </w:rPr>
      </w:pPr>
      <w:r>
        <w:rPr>
          <w:rFonts w:eastAsia="Times New Roman" w:cstheme="minorHAnsi"/>
          <w:b/>
          <w:color w:val="0070C0"/>
          <w:lang w:eastAsia="en-GB"/>
        </w:rPr>
        <w:t xml:space="preserve">View from OSCR </w:t>
      </w:r>
    </w:p>
    <w:p w14:paraId="1F7424A8" w14:textId="3F01460D" w:rsidR="005717A3" w:rsidRDefault="005717A3" w:rsidP="005717A3">
      <w:pPr>
        <w:spacing w:after="0" w:line="240" w:lineRule="auto"/>
        <w:rPr>
          <w:rFonts w:eastAsia="Times New Roman" w:cstheme="minorHAnsi"/>
          <w:b/>
          <w:color w:val="0070C0"/>
          <w:lang w:eastAsia="en-GB"/>
        </w:rPr>
      </w:pPr>
    </w:p>
    <w:p w14:paraId="44BDA074" w14:textId="60EA834A" w:rsidR="005717A3" w:rsidRDefault="005717A3" w:rsidP="005717A3">
      <w:pPr>
        <w:spacing w:after="0" w:line="240" w:lineRule="auto"/>
        <w:rPr>
          <w:rFonts w:eastAsia="Times New Roman" w:cstheme="minorHAnsi"/>
          <w:b/>
          <w:color w:val="0070C0"/>
          <w:lang w:eastAsia="en-GB"/>
        </w:rPr>
      </w:pPr>
      <w:r>
        <w:rPr>
          <w:rFonts w:eastAsia="Times New Roman" w:cstheme="minorHAnsi"/>
          <w:b/>
          <w:color w:val="0070C0"/>
          <w:lang w:eastAsia="en-GB"/>
        </w:rPr>
        <w:t>After discussion at the ARC on 13</w:t>
      </w:r>
      <w:r w:rsidRPr="00FD4987">
        <w:rPr>
          <w:rFonts w:eastAsia="Times New Roman" w:cstheme="minorHAnsi"/>
          <w:b/>
          <w:color w:val="0070C0"/>
          <w:vertAlign w:val="superscript"/>
          <w:lang w:eastAsia="en-GB"/>
        </w:rPr>
        <w:t>th</w:t>
      </w:r>
      <w:r>
        <w:rPr>
          <w:rFonts w:eastAsia="Times New Roman" w:cstheme="minorHAnsi"/>
          <w:b/>
          <w:color w:val="0070C0"/>
          <w:lang w:eastAsia="en-GB"/>
        </w:rPr>
        <w:t xml:space="preserve"> May 2024 a follow-up a viewpoint was to be sought of OSCR and following a discussion </w:t>
      </w:r>
      <w:r w:rsidR="00DC6CC2">
        <w:rPr>
          <w:rFonts w:eastAsia="Times New Roman" w:cstheme="minorHAnsi"/>
          <w:b/>
          <w:color w:val="0070C0"/>
          <w:lang w:eastAsia="en-GB"/>
        </w:rPr>
        <w:t xml:space="preserve">initially </w:t>
      </w:r>
      <w:r>
        <w:rPr>
          <w:rFonts w:eastAsia="Times New Roman" w:cstheme="minorHAnsi"/>
          <w:b/>
          <w:color w:val="0070C0"/>
          <w:lang w:eastAsia="en-GB"/>
        </w:rPr>
        <w:t xml:space="preserve">between Iain Clark (CRO) and </w:t>
      </w:r>
      <w:r w:rsidR="00DC6CC2">
        <w:rPr>
          <w:rFonts w:eastAsia="Times New Roman" w:cstheme="minorHAnsi"/>
          <w:b/>
          <w:color w:val="0070C0"/>
          <w:lang w:eastAsia="en-GB"/>
        </w:rPr>
        <w:t xml:space="preserve">sector colleagues around the role of OSCR and Going Concern, which proved inconclusive, a direct approach was made to OSCR (Alison Adams). This was via email and a follow-up discussion and </w:t>
      </w:r>
      <w:r>
        <w:rPr>
          <w:rFonts w:eastAsia="Times New Roman" w:cstheme="minorHAnsi"/>
          <w:b/>
          <w:color w:val="0070C0"/>
          <w:lang w:eastAsia="en-GB"/>
        </w:rPr>
        <w:t xml:space="preserve">the response came in an email from </w:t>
      </w:r>
      <w:r w:rsidR="002E162F">
        <w:rPr>
          <w:rFonts w:eastAsia="Times New Roman" w:cstheme="minorHAnsi"/>
          <w:b/>
          <w:color w:val="0070C0"/>
          <w:lang w:eastAsia="en-GB"/>
        </w:rPr>
        <w:t>Alison Adams</w:t>
      </w:r>
      <w:r>
        <w:rPr>
          <w:rFonts w:eastAsia="Times New Roman" w:cstheme="minorHAnsi"/>
          <w:b/>
          <w:color w:val="0070C0"/>
          <w:lang w:eastAsia="en-GB"/>
        </w:rPr>
        <w:t xml:space="preserve"> (</w:t>
      </w:r>
      <w:r w:rsidR="002E162F">
        <w:rPr>
          <w:rFonts w:eastAsia="Times New Roman" w:cstheme="minorHAnsi"/>
          <w:b/>
          <w:color w:val="0070C0"/>
          <w:lang w:eastAsia="en-GB"/>
        </w:rPr>
        <w:t>OSCR</w:t>
      </w:r>
      <w:r>
        <w:rPr>
          <w:rFonts w:eastAsia="Times New Roman" w:cstheme="minorHAnsi"/>
          <w:b/>
          <w:color w:val="0070C0"/>
          <w:lang w:eastAsia="en-GB"/>
        </w:rPr>
        <w:t xml:space="preserve">)  </w:t>
      </w:r>
      <w:r w:rsidRPr="00FD4987">
        <w:rPr>
          <w:rFonts w:eastAsia="Times New Roman" w:cstheme="minorHAnsi"/>
          <w:b/>
          <w:color w:val="0070C0"/>
          <w:lang w:eastAsia="en-GB"/>
        </w:rPr>
        <w:t>Fri 1</w:t>
      </w:r>
      <w:r w:rsidR="002E162F">
        <w:rPr>
          <w:rFonts w:eastAsia="Times New Roman" w:cstheme="minorHAnsi"/>
          <w:b/>
          <w:color w:val="0070C0"/>
          <w:lang w:eastAsia="en-GB"/>
        </w:rPr>
        <w:t>9</w:t>
      </w:r>
      <w:r w:rsidRPr="00FD4987">
        <w:rPr>
          <w:rFonts w:eastAsia="Times New Roman" w:cstheme="minorHAnsi"/>
          <w:b/>
          <w:color w:val="0070C0"/>
          <w:lang w:eastAsia="en-GB"/>
        </w:rPr>
        <w:t>/0</w:t>
      </w:r>
      <w:r w:rsidR="002E162F">
        <w:rPr>
          <w:rFonts w:eastAsia="Times New Roman" w:cstheme="minorHAnsi"/>
          <w:b/>
          <w:color w:val="0070C0"/>
          <w:lang w:eastAsia="en-GB"/>
        </w:rPr>
        <w:t>7</w:t>
      </w:r>
      <w:r w:rsidRPr="00FD4987">
        <w:rPr>
          <w:rFonts w:eastAsia="Times New Roman" w:cstheme="minorHAnsi"/>
          <w:b/>
          <w:color w:val="0070C0"/>
          <w:lang w:eastAsia="en-GB"/>
        </w:rPr>
        <w:t>/2024 1</w:t>
      </w:r>
      <w:r w:rsidR="002E162F">
        <w:rPr>
          <w:rFonts w:eastAsia="Times New Roman" w:cstheme="minorHAnsi"/>
          <w:b/>
          <w:color w:val="0070C0"/>
          <w:lang w:eastAsia="en-GB"/>
        </w:rPr>
        <w:t>5</w:t>
      </w:r>
      <w:r w:rsidRPr="00FD4987">
        <w:rPr>
          <w:rFonts w:eastAsia="Times New Roman" w:cstheme="minorHAnsi"/>
          <w:b/>
          <w:color w:val="0070C0"/>
          <w:lang w:eastAsia="en-GB"/>
        </w:rPr>
        <w:t>:</w:t>
      </w:r>
      <w:r w:rsidR="002E162F">
        <w:rPr>
          <w:rFonts w:eastAsia="Times New Roman" w:cstheme="minorHAnsi"/>
          <w:b/>
          <w:color w:val="0070C0"/>
          <w:lang w:eastAsia="en-GB"/>
        </w:rPr>
        <w:t>04</w:t>
      </w:r>
    </w:p>
    <w:p w14:paraId="2EE944CF" w14:textId="171CD69C" w:rsidR="005717A3" w:rsidRDefault="005717A3" w:rsidP="005717A3">
      <w:pPr>
        <w:spacing w:after="0" w:line="240" w:lineRule="auto"/>
        <w:rPr>
          <w:rFonts w:eastAsia="Times New Roman" w:cstheme="minorHAnsi"/>
          <w:b/>
          <w:color w:val="0070C0"/>
          <w:lang w:eastAsia="en-GB"/>
        </w:rPr>
      </w:pPr>
    </w:p>
    <w:p w14:paraId="611F6D84" w14:textId="77777777" w:rsidR="002E162F" w:rsidRDefault="002E162F" w:rsidP="002E162F">
      <w:pPr>
        <w:outlineLvl w:val="0"/>
        <w:rPr>
          <w:rFonts w:ascii="Calibri" w:hAnsi="Calibri"/>
          <w:lang w:val="en-US" w:eastAsia="en-GB"/>
        </w:rPr>
      </w:pPr>
      <w:r>
        <w:rPr>
          <w:rFonts w:ascii="Calibri" w:hAnsi="Calibri"/>
          <w:b/>
          <w:bCs/>
          <w:lang w:val="en-US" w:eastAsia="en-GB"/>
        </w:rPr>
        <w:t>From:</w:t>
      </w:r>
      <w:r>
        <w:rPr>
          <w:rFonts w:ascii="Calibri" w:hAnsi="Calibri"/>
          <w:lang w:val="en-US" w:eastAsia="en-GB"/>
        </w:rPr>
        <w:t xml:space="preserve"> Alison Adams &lt;</w:t>
      </w:r>
      <w:hyperlink r:id="rId11" w:history="1">
        <w:r>
          <w:rPr>
            <w:rStyle w:val="Hyperlink"/>
            <w:rFonts w:ascii="Calibri" w:hAnsi="Calibri"/>
            <w:lang w:val="en-US" w:eastAsia="en-GB"/>
          </w:rPr>
          <w:t>Alison.Adams@oscr.org.uk</w:t>
        </w:r>
      </w:hyperlink>
      <w:r>
        <w:rPr>
          <w:rFonts w:ascii="Calibri" w:hAnsi="Calibri"/>
          <w:lang w:val="en-US" w:eastAsia="en-GB"/>
        </w:rPr>
        <w:t xml:space="preserve">&gt; </w:t>
      </w:r>
      <w:r>
        <w:rPr>
          <w:rFonts w:ascii="Calibri" w:hAnsi="Calibri"/>
          <w:lang w:val="en-US" w:eastAsia="en-GB"/>
        </w:rPr>
        <w:br/>
      </w:r>
      <w:r>
        <w:rPr>
          <w:rFonts w:ascii="Calibri" w:hAnsi="Calibri"/>
          <w:b/>
          <w:bCs/>
          <w:lang w:val="en-US" w:eastAsia="en-GB"/>
        </w:rPr>
        <w:t>Sent:</w:t>
      </w:r>
      <w:r>
        <w:rPr>
          <w:rFonts w:ascii="Calibri" w:hAnsi="Calibri"/>
          <w:lang w:val="en-US" w:eastAsia="en-GB"/>
        </w:rPr>
        <w:t xml:space="preserve"> 19 July 2024 15:04</w:t>
      </w:r>
      <w:r>
        <w:rPr>
          <w:rFonts w:ascii="Calibri" w:hAnsi="Calibri"/>
          <w:lang w:val="en-US" w:eastAsia="en-GB"/>
        </w:rPr>
        <w:br/>
      </w:r>
      <w:r>
        <w:rPr>
          <w:rFonts w:ascii="Calibri" w:hAnsi="Calibri"/>
          <w:b/>
          <w:bCs/>
          <w:lang w:val="en-US" w:eastAsia="en-GB"/>
        </w:rPr>
        <w:t>To:</w:t>
      </w:r>
      <w:r>
        <w:rPr>
          <w:rFonts w:ascii="Calibri" w:hAnsi="Calibri"/>
          <w:lang w:val="en-US" w:eastAsia="en-GB"/>
        </w:rPr>
        <w:t xml:space="preserve"> Iain Clark &lt;</w:t>
      </w:r>
      <w:hyperlink r:id="rId12" w:history="1">
        <w:r>
          <w:rPr>
            <w:rStyle w:val="Hyperlink"/>
            <w:rFonts w:ascii="Calibri" w:hAnsi="Calibri"/>
            <w:lang w:val="en-US" w:eastAsia="en-GB"/>
          </w:rPr>
          <w:t>Iain.Clark@nclan.ac.uk</w:t>
        </w:r>
      </w:hyperlink>
      <w:r>
        <w:rPr>
          <w:rFonts w:ascii="Calibri" w:hAnsi="Calibri"/>
          <w:lang w:val="en-US" w:eastAsia="en-GB"/>
        </w:rPr>
        <w:t>&gt;</w:t>
      </w:r>
      <w:r>
        <w:rPr>
          <w:rFonts w:ascii="Calibri" w:hAnsi="Calibri"/>
          <w:lang w:val="en-US" w:eastAsia="en-GB"/>
        </w:rPr>
        <w:br/>
      </w:r>
      <w:r>
        <w:rPr>
          <w:rFonts w:ascii="Calibri" w:hAnsi="Calibri"/>
          <w:b/>
          <w:bCs/>
          <w:lang w:val="en-US" w:eastAsia="en-GB"/>
        </w:rPr>
        <w:t>Subject:</w:t>
      </w:r>
      <w:r>
        <w:rPr>
          <w:rFonts w:ascii="Calibri" w:hAnsi="Calibri"/>
          <w:lang w:val="en-US" w:eastAsia="en-GB"/>
        </w:rPr>
        <w:t xml:space="preserve"> SC021206 - New College Lanarkshire</w:t>
      </w:r>
    </w:p>
    <w:p w14:paraId="19A3664C" w14:textId="77777777" w:rsidR="002E162F" w:rsidRDefault="002E162F" w:rsidP="002E162F">
      <w:pPr>
        <w:shd w:val="clear" w:color="auto" w:fill="FFC0CB"/>
        <w:rPr>
          <w:rFonts w:ascii="Calibri" w:hAnsi="Calibri"/>
          <w:lang w:eastAsia="en-GB"/>
        </w:rPr>
      </w:pPr>
      <w:r>
        <w:rPr>
          <w:rFonts w:ascii="Courier New" w:hAnsi="Courier New" w:cs="Courier New"/>
          <w:b/>
          <w:bCs/>
          <w:color w:val="000000"/>
          <w:sz w:val="32"/>
          <w:szCs w:val="32"/>
          <w:lang w:eastAsia="en-GB"/>
        </w:rPr>
        <w:t>This email contains a link!</w:t>
      </w:r>
    </w:p>
    <w:p w14:paraId="2C981E7E" w14:textId="77777777" w:rsidR="002E162F" w:rsidRDefault="002E162F" w:rsidP="002E162F">
      <w:pPr>
        <w:shd w:val="clear" w:color="auto" w:fill="FFC0CB"/>
        <w:ind w:firstLine="240"/>
        <w:rPr>
          <w:rFonts w:ascii="Arial" w:hAnsi="Arial" w:cs="Arial"/>
          <w:b/>
          <w:bCs/>
          <w:sz w:val="20"/>
          <w:szCs w:val="20"/>
          <w:lang w:eastAsia="en-GB"/>
        </w:rPr>
      </w:pPr>
      <w:r>
        <w:rPr>
          <w:rFonts w:ascii="Arial" w:hAnsi="Arial" w:cs="Arial"/>
          <w:b/>
          <w:bCs/>
          <w:sz w:val="20"/>
          <w:szCs w:val="20"/>
          <w:lang w:eastAsia="en-GB"/>
        </w:rPr>
        <w:lastRenderedPageBreak/>
        <w:t>This email contains a World Wide Web link. Use caution when following links as they could open malicious web sites.</w:t>
      </w:r>
    </w:p>
    <w:p w14:paraId="62D69A0B" w14:textId="77777777" w:rsidR="002E162F" w:rsidRDefault="002E162F" w:rsidP="002E162F">
      <w:pPr>
        <w:shd w:val="clear" w:color="auto" w:fill="FFC0CB"/>
        <w:rPr>
          <w:rFonts w:ascii="Calibri" w:hAnsi="Calibri" w:cs="Calibri"/>
          <w:lang w:eastAsia="en-GB"/>
        </w:rPr>
      </w:pPr>
    </w:p>
    <w:p w14:paraId="5DE082C4" w14:textId="77777777" w:rsidR="002E162F" w:rsidRDefault="002E162F" w:rsidP="002E162F">
      <w:pPr>
        <w:shd w:val="clear" w:color="auto" w:fill="FFC0CB"/>
        <w:rPr>
          <w:rFonts w:ascii="Times New Roman" w:hAnsi="Times New Roman" w:cs="Times New Roman"/>
          <w:b/>
          <w:bCs/>
          <w:color w:val="000000"/>
          <w:sz w:val="20"/>
          <w:szCs w:val="20"/>
          <w:lang w:eastAsia="en-GB"/>
        </w:rPr>
      </w:pPr>
      <w:r>
        <w:rPr>
          <w:rFonts w:ascii="Times New Roman" w:hAnsi="Times New Roman" w:cs="Times New Roman"/>
          <w:b/>
          <w:bCs/>
          <w:color w:val="000000"/>
          <w:sz w:val="20"/>
          <w:szCs w:val="20"/>
          <w:lang w:eastAsia="en-GB"/>
        </w:rPr>
        <w:t xml:space="preserve">If you are unsure about this link then please contact </w:t>
      </w:r>
      <w:hyperlink r:id="rId13" w:history="1">
        <w:r>
          <w:rPr>
            <w:rStyle w:val="Hyperlink"/>
            <w:rFonts w:ascii="Calibri" w:hAnsi="Calibri"/>
            <w:b/>
            <w:bCs/>
            <w:sz w:val="20"/>
            <w:szCs w:val="20"/>
            <w:lang w:eastAsia="en-GB"/>
          </w:rPr>
          <w:t xml:space="preserve">ICTHelpdesk </w:t>
        </w:r>
      </w:hyperlink>
    </w:p>
    <w:p w14:paraId="09059331" w14:textId="77777777" w:rsidR="002E162F" w:rsidRDefault="00794850" w:rsidP="002E162F">
      <w:pPr>
        <w:jc w:val="center"/>
        <w:rPr>
          <w:rFonts w:ascii="Calibri" w:eastAsia="Times New Roman" w:hAnsi="Calibri" w:cs="Calibri"/>
          <w:lang w:eastAsia="en-GB"/>
        </w:rPr>
      </w:pPr>
      <w:r>
        <w:rPr>
          <w:rFonts w:ascii="Calibri" w:eastAsia="Times New Roman" w:hAnsi="Calibri"/>
          <w:lang w:eastAsia="en-GB"/>
        </w:rPr>
        <w:pict w14:anchorId="22458C2D">
          <v:rect id="_x0000_i1025" style="width:451.3pt;height:1.5pt" o:hralign="center" o:hrstd="t" o:hr="t" fillcolor="#a0a0a0" stroked="f"/>
        </w:pict>
      </w:r>
    </w:p>
    <w:p w14:paraId="35EC6730" w14:textId="77777777" w:rsidR="002E162F" w:rsidRDefault="002E162F" w:rsidP="002E162F">
      <w:pPr>
        <w:rPr>
          <w:rFonts w:ascii="DM Sans" w:hAnsi="DM Sans"/>
          <w:sz w:val="24"/>
          <w:szCs w:val="24"/>
          <w14:ligatures w14:val="standardContextual"/>
        </w:rPr>
      </w:pPr>
      <w:r>
        <w:rPr>
          <w:rFonts w:ascii="DM Sans" w:hAnsi="DM Sans"/>
        </w:rPr>
        <w:t>Dear Mr Clark</w:t>
      </w:r>
    </w:p>
    <w:p w14:paraId="221C79CE" w14:textId="77777777" w:rsidR="002E162F" w:rsidRDefault="002E162F" w:rsidP="002E162F">
      <w:pPr>
        <w:rPr>
          <w:rFonts w:ascii="DM Sans" w:hAnsi="DM Sans"/>
        </w:rPr>
      </w:pPr>
      <w:r>
        <w:rPr>
          <w:rFonts w:ascii="DM Sans" w:hAnsi="DM Sans"/>
        </w:rPr>
        <w:t>Thank you for your email.</w:t>
      </w:r>
    </w:p>
    <w:p w14:paraId="07BBA90E" w14:textId="77777777" w:rsidR="002E162F" w:rsidRDefault="002E162F" w:rsidP="002E162F">
      <w:pPr>
        <w:rPr>
          <w:rFonts w:ascii="DM Sans" w:hAnsi="DM Sans"/>
        </w:rPr>
      </w:pPr>
      <w:r>
        <w:rPr>
          <w:rFonts w:ascii="DM Sans" w:hAnsi="DM Sans"/>
        </w:rPr>
        <w:t>Unfortunately, as a regulator, we cannot provide specific advice about individual charities and, as such, we would always advise charities to seek their own professional advice.</w:t>
      </w:r>
    </w:p>
    <w:p w14:paraId="57A7CA52" w14:textId="77777777" w:rsidR="002E162F" w:rsidRDefault="002E162F" w:rsidP="002E162F">
      <w:pPr>
        <w:rPr>
          <w:rFonts w:ascii="DM Sans" w:hAnsi="DM Sans"/>
        </w:rPr>
      </w:pPr>
      <w:r>
        <w:rPr>
          <w:rFonts w:ascii="DM Sans" w:hAnsi="DM Sans"/>
        </w:rPr>
        <w:t>The charity trustees should follow the advice given by the auditors and sponsor body, or seek further professional advice, if required.</w:t>
      </w:r>
    </w:p>
    <w:p w14:paraId="1624B100" w14:textId="77777777" w:rsidR="002E162F" w:rsidRDefault="002E162F" w:rsidP="002E162F">
      <w:pPr>
        <w:rPr>
          <w:rFonts w:ascii="DM Sans" w:hAnsi="DM Sans"/>
        </w:rPr>
      </w:pPr>
      <w:r>
        <w:rPr>
          <w:rFonts w:ascii="DM Sans" w:hAnsi="DM Sans"/>
        </w:rPr>
        <w:t>Yours sincerely</w:t>
      </w:r>
    </w:p>
    <w:p w14:paraId="18A712FC" w14:textId="77777777" w:rsidR="002E162F" w:rsidRDefault="002E162F" w:rsidP="002E162F">
      <w:pPr>
        <w:rPr>
          <w:rFonts w:ascii="DM Sans" w:hAnsi="DM Sans"/>
        </w:rPr>
      </w:pPr>
      <w:r>
        <w:rPr>
          <w:rFonts w:ascii="DM Sans" w:hAnsi="DM Sans"/>
        </w:rPr>
        <w:t>Alison Adams</w:t>
      </w:r>
    </w:p>
    <w:p w14:paraId="14FEF012" w14:textId="3DD79549" w:rsidR="002E162F" w:rsidRDefault="002E162F" w:rsidP="002E162F">
      <w:pPr>
        <w:rPr>
          <w:rFonts w:ascii="DM Sans" w:hAnsi="DM Sans"/>
          <w:lang w:eastAsia="en-GB"/>
        </w:rPr>
      </w:pPr>
      <w:r>
        <w:rPr>
          <w:rFonts w:ascii="Aptos" w:hAnsi="Aptos"/>
          <w:noProof/>
          <w14:ligatures w14:val="standardContextual"/>
        </w:rPr>
        <w:drawing>
          <wp:anchor distT="0" distB="0" distL="114300" distR="114300" simplePos="0" relativeHeight="251667456" behindDoc="0" locked="0" layoutInCell="1" allowOverlap="1" wp14:anchorId="3A13BCFA" wp14:editId="03C5298C">
            <wp:simplePos x="0" y="0"/>
            <wp:positionH relativeFrom="column">
              <wp:posOffset>0</wp:posOffset>
            </wp:positionH>
            <wp:positionV relativeFrom="paragraph">
              <wp:posOffset>241300</wp:posOffset>
            </wp:positionV>
            <wp:extent cx="1000125" cy="495300"/>
            <wp:effectExtent l="0" t="0" r="9525" b="0"/>
            <wp:wrapSquare wrapText="bothSides"/>
            <wp:docPr id="15" name="Picture 15" descr="A close-up of a logo&#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up of a logo&#10;&#10;Description automatically generated">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0125" cy="495300"/>
                    </a:xfrm>
                    <a:prstGeom prst="rect">
                      <a:avLst/>
                    </a:prstGeom>
                    <a:noFill/>
                  </pic:spPr>
                </pic:pic>
              </a:graphicData>
            </a:graphic>
            <wp14:sizeRelH relativeFrom="margin">
              <wp14:pctWidth>0</wp14:pctWidth>
            </wp14:sizeRelH>
            <wp14:sizeRelV relativeFrom="margin">
              <wp14:pctHeight>0</wp14:pctHeight>
            </wp14:sizeRelV>
          </wp:anchor>
        </w:drawing>
      </w:r>
      <w:bookmarkStart w:id="6" w:name="_Hlk156909849"/>
      <w:r>
        <w:rPr>
          <w:rFonts w:ascii="DM Sans" w:hAnsi="DM Sans"/>
          <w:b/>
          <w:bCs/>
          <w:lang w:eastAsia="en-GB"/>
        </w:rPr>
        <w:t xml:space="preserve">Alison Adams </w:t>
      </w:r>
      <w:r>
        <w:rPr>
          <w:rFonts w:ascii="DM Sans" w:hAnsi="DM Sans"/>
          <w:lang w:eastAsia="en-GB"/>
        </w:rPr>
        <w:t>| Accounts and Annual Returns Officer</w:t>
      </w:r>
      <w:r>
        <w:rPr>
          <w:rFonts w:ascii="DM Sans" w:hAnsi="DM Sans"/>
          <w:b/>
          <w:bCs/>
          <w:lang w:eastAsia="en-GB"/>
        </w:rPr>
        <w:br/>
        <w:t>Email:</w:t>
      </w:r>
      <w:r>
        <w:rPr>
          <w:rFonts w:ascii="DM Sans" w:hAnsi="DM Sans"/>
          <w:lang w:eastAsia="en-GB"/>
        </w:rPr>
        <w:t xml:space="preserve"> </w:t>
      </w:r>
      <w:hyperlink r:id="rId16" w:history="1">
        <w:r>
          <w:rPr>
            <w:rStyle w:val="Hyperlink"/>
            <w:rFonts w:ascii="DM Sans" w:hAnsi="DM Sans"/>
            <w:lang w:eastAsia="en-GB"/>
          </w:rPr>
          <w:t>alison.adams@oscr.org.uk</w:t>
        </w:r>
      </w:hyperlink>
      <w:r>
        <w:rPr>
          <w:rFonts w:ascii="DM Sans" w:hAnsi="DM Sans"/>
          <w:lang w:eastAsia="en-GB"/>
        </w:rPr>
        <w:t xml:space="preserve"> | </w:t>
      </w:r>
      <w:r>
        <w:rPr>
          <w:rFonts w:ascii="DM Sans" w:hAnsi="DM Sans"/>
          <w:b/>
          <w:bCs/>
          <w:lang w:eastAsia="en-GB"/>
        </w:rPr>
        <w:t>Tel:</w:t>
      </w:r>
      <w:r>
        <w:rPr>
          <w:rFonts w:ascii="DM Sans" w:hAnsi="DM Sans"/>
          <w:lang w:eastAsia="en-GB"/>
        </w:rPr>
        <w:t xml:space="preserve"> 0131 460 9892</w:t>
      </w:r>
    </w:p>
    <w:p w14:paraId="134C9472" w14:textId="77777777" w:rsidR="002E162F" w:rsidRDefault="002E162F" w:rsidP="002E162F">
      <w:pPr>
        <w:rPr>
          <w:rFonts w:ascii="DM Sans" w:hAnsi="DM Sans"/>
          <w:lang w:eastAsia="en-GB"/>
        </w:rPr>
      </w:pPr>
      <w:r>
        <w:rPr>
          <w:rFonts w:ascii="DM Sans" w:hAnsi="DM Sans"/>
          <w:b/>
          <w:bCs/>
          <w:lang w:eastAsia="en-GB"/>
        </w:rPr>
        <w:t>Web:</w:t>
      </w:r>
      <w:r>
        <w:rPr>
          <w:rFonts w:ascii="DM Sans" w:hAnsi="DM Sans"/>
          <w:lang w:eastAsia="en-GB"/>
        </w:rPr>
        <w:t xml:space="preserve"> </w:t>
      </w:r>
      <w:hyperlink r:id="rId17" w:history="1">
        <w:r>
          <w:rPr>
            <w:rStyle w:val="Hyperlink"/>
            <w:rFonts w:ascii="DM Sans" w:hAnsi="DM Sans"/>
            <w:lang w:eastAsia="en-GB"/>
          </w:rPr>
          <w:t>www.oscr.org.uk</w:t>
        </w:r>
      </w:hyperlink>
      <w:r>
        <w:rPr>
          <w:rFonts w:ascii="DM Sans" w:hAnsi="DM Sans"/>
          <w:lang w:eastAsia="en-GB"/>
        </w:rPr>
        <w:t xml:space="preserve"> | </w:t>
      </w:r>
      <w:hyperlink r:id="rId18" w:history="1">
        <w:r>
          <w:rPr>
            <w:rStyle w:val="Hyperlink"/>
            <w:rFonts w:ascii="DM Sans" w:hAnsi="DM Sans"/>
            <w:lang w:eastAsia="en-GB"/>
          </w:rPr>
          <w:t>Sign up for our newsletter</w:t>
        </w:r>
      </w:hyperlink>
      <w:bookmarkEnd w:id="6"/>
    </w:p>
    <w:p w14:paraId="7BE78BD6" w14:textId="1FBB8F38" w:rsidR="002E162F" w:rsidRDefault="002E162F" w:rsidP="002E162F">
      <w:pPr>
        <w:rPr>
          <w:rFonts w:ascii="Aptos" w:hAnsi="Aptos"/>
        </w:rPr>
      </w:pPr>
    </w:p>
    <w:p w14:paraId="27110099" w14:textId="03E93900" w:rsidR="00DC6CC2" w:rsidRPr="00DC6CC2" w:rsidRDefault="00DC6CC2" w:rsidP="00DC6CC2">
      <w:pPr>
        <w:spacing w:after="0" w:line="240" w:lineRule="auto"/>
        <w:rPr>
          <w:rFonts w:eastAsia="Times New Roman" w:cstheme="minorHAnsi"/>
          <w:lang w:eastAsia="en-GB"/>
        </w:rPr>
      </w:pPr>
      <w:r w:rsidRPr="00DC6CC2">
        <w:rPr>
          <w:rFonts w:cstheme="minorHAnsi"/>
        </w:rPr>
        <w:t>This is consistent with the OSCR Guidance in the attached documents</w:t>
      </w:r>
      <w:r>
        <w:rPr>
          <w:rFonts w:ascii="Aptos" w:hAnsi="Aptos"/>
        </w:rPr>
        <w:t xml:space="preserve"> </w:t>
      </w:r>
      <w:r>
        <w:rPr>
          <w:rFonts w:eastAsia="Times New Roman" w:cstheme="minorHAnsi"/>
          <w:b/>
          <w:lang w:eastAsia="en-GB"/>
        </w:rPr>
        <w:t xml:space="preserve">OSCR - Guidance and Good Practice for Charity Trustees June 2024; OSCR – Notifiable Events / Concerns April 2024 </w:t>
      </w:r>
      <w:r w:rsidRPr="00DC6CC2">
        <w:rPr>
          <w:rFonts w:eastAsia="Times New Roman" w:cstheme="minorHAnsi"/>
          <w:lang w:eastAsia="en-GB"/>
        </w:rPr>
        <w:t>basically referring the decision to the Auditors (Audit Scotland) and the Sponsor Body (the SFC).</w:t>
      </w:r>
    </w:p>
    <w:p w14:paraId="797208F1" w14:textId="5B4C6244" w:rsidR="00DC6CC2" w:rsidRDefault="00DC6CC2" w:rsidP="002E162F">
      <w:pPr>
        <w:rPr>
          <w:rFonts w:ascii="Aptos" w:hAnsi="Aptos"/>
        </w:rPr>
      </w:pPr>
    </w:p>
    <w:p w14:paraId="78596173" w14:textId="09C13861" w:rsidR="00AE3ADA" w:rsidRDefault="00262F79" w:rsidP="00F87BF5">
      <w:pPr>
        <w:pStyle w:val="ListParagraph"/>
        <w:numPr>
          <w:ilvl w:val="1"/>
          <w:numId w:val="31"/>
        </w:numPr>
        <w:spacing w:after="0" w:line="240" w:lineRule="auto"/>
        <w:ind w:left="567" w:hanging="567"/>
        <w:rPr>
          <w:rFonts w:eastAsia="Times New Roman" w:cstheme="minorHAnsi"/>
          <w:b/>
          <w:color w:val="0070C0"/>
          <w:lang w:eastAsia="en-GB"/>
        </w:rPr>
      </w:pPr>
      <w:r>
        <w:rPr>
          <w:rFonts w:eastAsia="Times New Roman" w:cstheme="minorHAnsi"/>
          <w:b/>
          <w:color w:val="0070C0"/>
          <w:lang w:eastAsia="en-GB"/>
        </w:rPr>
        <w:t>View from t</w:t>
      </w:r>
      <w:r w:rsidR="002558B2">
        <w:rPr>
          <w:rFonts w:eastAsia="Times New Roman" w:cstheme="minorHAnsi"/>
          <w:b/>
          <w:color w:val="0070C0"/>
          <w:lang w:eastAsia="en-GB"/>
        </w:rPr>
        <w:t>he Scottish Funding Council</w:t>
      </w:r>
      <w:r w:rsidR="00ED5985">
        <w:rPr>
          <w:rFonts w:eastAsia="Times New Roman" w:cstheme="minorHAnsi"/>
          <w:b/>
          <w:color w:val="0070C0"/>
          <w:lang w:eastAsia="en-GB"/>
        </w:rPr>
        <w:t xml:space="preserve"> (sponsor department)</w:t>
      </w:r>
    </w:p>
    <w:p w14:paraId="482DE1DB" w14:textId="210B3BA4" w:rsidR="0076184E" w:rsidRDefault="0076184E" w:rsidP="0076184E">
      <w:pPr>
        <w:spacing w:after="0" w:line="240" w:lineRule="auto"/>
        <w:rPr>
          <w:rFonts w:eastAsia="Times New Roman" w:cstheme="minorHAnsi"/>
          <w:b/>
          <w:color w:val="0070C0"/>
          <w:lang w:eastAsia="en-GB"/>
        </w:rPr>
      </w:pPr>
    </w:p>
    <w:p w14:paraId="1DAD10E0" w14:textId="66EE568D" w:rsidR="00591B5C" w:rsidRPr="00591B5C" w:rsidRDefault="00763B7E" w:rsidP="00591B5C">
      <w:pPr>
        <w:rPr>
          <w:rFonts w:eastAsia="Times New Roman" w:cstheme="minorHAnsi"/>
          <w:i/>
          <w:color w:val="000000"/>
          <w:lang w:eastAsia="en-GB"/>
        </w:rPr>
      </w:pPr>
      <w:r w:rsidRPr="00763B7E">
        <w:rPr>
          <w:rFonts w:eastAsia="Times New Roman" w:cstheme="minorHAnsi"/>
          <w:lang w:eastAsia="en-GB"/>
        </w:rPr>
        <w:t>The Scottish Funding Council has been consistent in its approach to Going Concern stating that it is up to the individual College and its Auditors</w:t>
      </w:r>
      <w:r w:rsidR="00591B5C">
        <w:rPr>
          <w:rFonts w:eastAsia="Times New Roman" w:cstheme="minorHAnsi"/>
          <w:lang w:eastAsia="en-GB"/>
        </w:rPr>
        <w:t>, although the FRem does state “</w:t>
      </w:r>
      <w:r w:rsidR="00591B5C" w:rsidRPr="00591B5C">
        <w:rPr>
          <w:rFonts w:eastAsia="Times New Roman" w:cstheme="minorHAnsi"/>
          <w:bCs/>
          <w:i/>
          <w:iCs/>
          <w:color w:val="000000"/>
          <w:lang w:eastAsia="en-GB"/>
        </w:rPr>
        <w:t>It also clarifies that bodies with total net liabilities should prepare their financial statements on the going concern basis unless the sponsor department deems that inappropriate</w:t>
      </w:r>
      <w:r w:rsidR="00591B5C">
        <w:rPr>
          <w:rFonts w:eastAsia="Times New Roman" w:cstheme="minorHAnsi"/>
          <w:bCs/>
          <w:i/>
          <w:iCs/>
          <w:color w:val="000000"/>
          <w:lang w:eastAsia="en-GB"/>
        </w:rPr>
        <w:t>”</w:t>
      </w:r>
      <w:r w:rsidR="00591B5C" w:rsidRPr="00591B5C">
        <w:rPr>
          <w:rFonts w:eastAsia="Times New Roman" w:cstheme="minorHAnsi"/>
          <w:bCs/>
          <w:i/>
          <w:iCs/>
          <w:color w:val="000000"/>
          <w:lang w:eastAsia="en-GB"/>
        </w:rPr>
        <w:t>.</w:t>
      </w:r>
      <w:r w:rsidR="00591B5C">
        <w:rPr>
          <w:rFonts w:eastAsia="Times New Roman" w:cstheme="minorHAnsi"/>
          <w:bCs/>
          <w:i/>
          <w:iCs/>
          <w:color w:val="000000"/>
          <w:lang w:eastAsia="en-GB"/>
        </w:rPr>
        <w:t xml:space="preserve"> </w:t>
      </w:r>
      <w:r w:rsidR="00591B5C" w:rsidRPr="00591B5C">
        <w:rPr>
          <w:rFonts w:eastAsia="Times New Roman" w:cstheme="minorHAnsi"/>
          <w:bCs/>
          <w:iCs/>
          <w:color w:val="000000"/>
          <w:lang w:eastAsia="en-GB"/>
        </w:rPr>
        <w:t>To date, that has never been the position.</w:t>
      </w:r>
    </w:p>
    <w:p w14:paraId="5B627BE4" w14:textId="1C98D9FF" w:rsidR="00763B7E" w:rsidRDefault="00763B7E" w:rsidP="0076184E">
      <w:pPr>
        <w:spacing w:after="0" w:line="240" w:lineRule="auto"/>
        <w:rPr>
          <w:rFonts w:cstheme="minorHAnsi"/>
          <w:b/>
          <w:bCs/>
        </w:rPr>
      </w:pPr>
      <w:r w:rsidRPr="00763B7E">
        <w:rPr>
          <w:rFonts w:eastAsia="Times New Roman" w:cstheme="minorHAnsi"/>
          <w:lang w:eastAsia="en-GB"/>
        </w:rPr>
        <w:t xml:space="preserve">Extracted statements from the Financial Statements laid before Parliament and published have been included for reference. Sector colleagues are unaware of any feedback from the SFC </w:t>
      </w:r>
      <w:r>
        <w:rPr>
          <w:rFonts w:eastAsia="Times New Roman" w:cstheme="minorHAnsi"/>
          <w:lang w:eastAsia="en-GB"/>
        </w:rPr>
        <w:t>ar</w:t>
      </w:r>
      <w:r w:rsidRPr="00763B7E">
        <w:rPr>
          <w:rFonts w:eastAsia="Times New Roman" w:cstheme="minorHAnsi"/>
          <w:lang w:eastAsia="en-GB"/>
        </w:rPr>
        <w:t>ound Going Concern.</w:t>
      </w:r>
      <w:r w:rsidR="00407539">
        <w:rPr>
          <w:rFonts w:eastAsia="Times New Roman" w:cstheme="minorHAnsi"/>
          <w:lang w:eastAsia="en-GB"/>
        </w:rPr>
        <w:t xml:space="preserve"> </w:t>
      </w:r>
      <w:r w:rsidR="00407539" w:rsidRPr="00A45A66">
        <w:rPr>
          <w:rFonts w:cstheme="minorHAnsi"/>
          <w:b/>
          <w:bCs/>
        </w:rPr>
        <w:t>CDN Finance Development Network Steering Group – Going Concern Statements August 2024</w:t>
      </w:r>
    </w:p>
    <w:p w14:paraId="2EEFBCB7" w14:textId="3DF91491" w:rsidR="00407539" w:rsidRDefault="00407539" w:rsidP="0076184E">
      <w:pPr>
        <w:spacing w:after="0" w:line="240" w:lineRule="auto"/>
        <w:rPr>
          <w:rFonts w:eastAsia="Times New Roman" w:cstheme="minorHAnsi"/>
          <w:lang w:eastAsia="en-GB"/>
        </w:rPr>
      </w:pPr>
    </w:p>
    <w:p w14:paraId="321A1A1C" w14:textId="41DFEBE1" w:rsidR="00407539" w:rsidRDefault="00407539" w:rsidP="00407539">
      <w:pPr>
        <w:pStyle w:val="ListParagraph"/>
        <w:numPr>
          <w:ilvl w:val="1"/>
          <w:numId w:val="31"/>
        </w:numPr>
        <w:spacing w:after="0" w:line="240" w:lineRule="auto"/>
        <w:rPr>
          <w:rFonts w:eastAsia="Times New Roman" w:cstheme="minorHAnsi"/>
          <w:b/>
          <w:color w:val="0070C0"/>
          <w:lang w:eastAsia="en-GB"/>
        </w:rPr>
      </w:pPr>
      <w:r>
        <w:rPr>
          <w:rFonts w:eastAsia="Times New Roman" w:cstheme="minorHAnsi"/>
          <w:lang w:eastAsia="en-GB"/>
        </w:rPr>
        <w:t xml:space="preserve">    </w:t>
      </w:r>
      <w:r w:rsidR="00933DF6">
        <w:rPr>
          <w:rFonts w:eastAsia="Times New Roman" w:cstheme="minorHAnsi"/>
          <w:b/>
          <w:color w:val="0070C0"/>
          <w:lang w:eastAsia="en-GB"/>
        </w:rPr>
        <w:t>Summary</w:t>
      </w:r>
    </w:p>
    <w:p w14:paraId="4668DC0C" w14:textId="5CC5F04F" w:rsidR="00933DF6" w:rsidRDefault="00933DF6" w:rsidP="00933DF6">
      <w:pPr>
        <w:spacing w:after="0" w:line="240" w:lineRule="auto"/>
        <w:rPr>
          <w:rFonts w:eastAsia="Times New Roman" w:cstheme="minorHAnsi"/>
          <w:b/>
          <w:color w:val="0070C0"/>
          <w:lang w:eastAsia="en-GB"/>
        </w:rPr>
      </w:pPr>
    </w:p>
    <w:p w14:paraId="30A0E0C4" w14:textId="6B109F28" w:rsidR="00933DF6" w:rsidRPr="00591B5C" w:rsidRDefault="00933DF6" w:rsidP="00933DF6">
      <w:pPr>
        <w:spacing w:after="0" w:line="240" w:lineRule="auto"/>
        <w:rPr>
          <w:rFonts w:eastAsia="Times New Roman" w:cstheme="minorHAnsi"/>
          <w:lang w:eastAsia="en-GB"/>
        </w:rPr>
      </w:pPr>
      <w:r w:rsidRPr="00591B5C">
        <w:rPr>
          <w:rFonts w:eastAsia="Times New Roman" w:cstheme="minorHAnsi"/>
          <w:lang w:eastAsia="en-GB"/>
        </w:rPr>
        <w:t>In essence</w:t>
      </w:r>
      <w:r w:rsidR="00591B5C" w:rsidRPr="00591B5C">
        <w:rPr>
          <w:rFonts w:eastAsia="Times New Roman" w:cstheme="minorHAnsi"/>
          <w:lang w:eastAsia="en-GB"/>
        </w:rPr>
        <w:t xml:space="preserve">, </w:t>
      </w:r>
      <w:r w:rsidR="00ED5985">
        <w:rPr>
          <w:rFonts w:eastAsia="Times New Roman" w:cstheme="minorHAnsi"/>
          <w:lang w:eastAsia="en-GB"/>
        </w:rPr>
        <w:t xml:space="preserve">as per Audit Scotland </w:t>
      </w:r>
      <w:r w:rsidR="00591B5C" w:rsidRPr="00591B5C">
        <w:rPr>
          <w:rFonts w:eastAsia="Times New Roman" w:cstheme="minorHAnsi"/>
          <w:lang w:eastAsia="en-GB"/>
        </w:rPr>
        <w:t>the College can continue to use the Going Concern concept unless there is any doubt around the continuation of service, irrespective of who delivers that service.</w:t>
      </w:r>
    </w:p>
    <w:p w14:paraId="1796D1D9" w14:textId="23C81183" w:rsidR="00407539" w:rsidRPr="00763B7E" w:rsidRDefault="00407539" w:rsidP="0076184E">
      <w:pPr>
        <w:spacing w:after="0" w:line="240" w:lineRule="auto"/>
        <w:rPr>
          <w:rFonts w:eastAsia="Times New Roman" w:cstheme="minorHAnsi"/>
          <w:lang w:eastAsia="en-GB"/>
        </w:rPr>
      </w:pPr>
    </w:p>
    <w:bookmarkEnd w:id="3"/>
    <w:bookmarkEnd w:id="4"/>
    <w:sectPr w:rsidR="00407539" w:rsidRPr="00763B7E" w:rsidSect="00262F79">
      <w:headerReference w:type="default" r:id="rId19"/>
      <w:footerReference w:type="default" r:id="rId2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14550" w14:textId="77777777" w:rsidR="00FD0A6E" w:rsidRDefault="00FD0A6E" w:rsidP="00F10665">
      <w:pPr>
        <w:spacing w:after="0" w:line="240" w:lineRule="auto"/>
      </w:pPr>
      <w:r>
        <w:separator/>
      </w:r>
    </w:p>
  </w:endnote>
  <w:endnote w:type="continuationSeparator" w:id="0">
    <w:p w14:paraId="2A944F0B" w14:textId="77777777" w:rsidR="00FD0A6E" w:rsidRDefault="00FD0A6E" w:rsidP="00F1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Mangal"/>
    <w:panose1 w:val="00000000000000000000"/>
    <w:charset w:val="4D"/>
    <w:family w:val="auto"/>
    <w:notTrueType/>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altName w:val="Calibri"/>
    <w:charset w:val="00"/>
    <w:family w:val="auto"/>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4354" w14:textId="2650DDA9" w:rsidR="00FD0A6E" w:rsidRDefault="00FD0A6E">
    <w:pPr>
      <w:pStyle w:val="Footer"/>
      <w:jc w:val="center"/>
    </w:pPr>
  </w:p>
  <w:p w14:paraId="63D0D1C5" w14:textId="77777777" w:rsidR="00FD0A6E" w:rsidRDefault="00FD0A6E">
    <w:pPr>
      <w:pStyle w:val="Footer"/>
    </w:pPr>
  </w:p>
  <w:p w14:paraId="2E4BC913" w14:textId="77777777" w:rsidR="00FD0A6E" w:rsidRDefault="00FD0A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CD8D6" w14:textId="77777777" w:rsidR="00FD0A6E" w:rsidRDefault="00FD0A6E" w:rsidP="00F10665">
      <w:pPr>
        <w:spacing w:after="0" w:line="240" w:lineRule="auto"/>
      </w:pPr>
      <w:r>
        <w:separator/>
      </w:r>
    </w:p>
  </w:footnote>
  <w:footnote w:type="continuationSeparator" w:id="0">
    <w:p w14:paraId="35E13CEE" w14:textId="77777777" w:rsidR="00FD0A6E" w:rsidRDefault="00FD0A6E" w:rsidP="00F1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B1AE" w14:textId="77777777" w:rsidR="00FD0A6E" w:rsidRDefault="00FD0A6E" w:rsidP="005D4C17">
    <w:pPr>
      <w:pStyle w:val="Header"/>
      <w:jc w:val="right"/>
    </w:pPr>
    <w:r>
      <w:rPr>
        <w:noProof/>
        <w:lang w:eastAsia="en-GB"/>
      </w:rPr>
      <w:drawing>
        <wp:inline distT="0" distB="0" distL="0" distR="0" wp14:anchorId="104C9E79" wp14:editId="666849AB">
          <wp:extent cx="1981200" cy="981075"/>
          <wp:effectExtent l="0" t="0" r="0" b="9525"/>
          <wp:docPr id="1" name="Picture 1" descr="cid:image003.png@01D78F62.D4D4EC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8F62.D4D4EC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1200" cy="981075"/>
                  </a:xfrm>
                  <a:prstGeom prst="rect">
                    <a:avLst/>
                  </a:prstGeom>
                  <a:noFill/>
                  <a:ln>
                    <a:noFill/>
                  </a:ln>
                </pic:spPr>
              </pic:pic>
            </a:graphicData>
          </a:graphic>
        </wp:inline>
      </w:drawing>
    </w:r>
  </w:p>
  <w:p w14:paraId="77E79E96" w14:textId="77777777" w:rsidR="00FD0A6E" w:rsidRDefault="00FD0A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5DAE"/>
    <w:multiLevelType w:val="multilevel"/>
    <w:tmpl w:val="47143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E552F"/>
    <w:multiLevelType w:val="hybridMultilevel"/>
    <w:tmpl w:val="752E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625DD"/>
    <w:multiLevelType w:val="multilevel"/>
    <w:tmpl w:val="798EC6D0"/>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3" w15:restartNumberingAfterBreak="0">
    <w:nsid w:val="09D678E0"/>
    <w:multiLevelType w:val="multilevel"/>
    <w:tmpl w:val="DFA444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57491E"/>
    <w:multiLevelType w:val="hybridMultilevel"/>
    <w:tmpl w:val="6C1E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13412"/>
    <w:multiLevelType w:val="hybridMultilevel"/>
    <w:tmpl w:val="C42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A0826"/>
    <w:multiLevelType w:val="hybridMultilevel"/>
    <w:tmpl w:val="9D6C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E39C8"/>
    <w:multiLevelType w:val="hybridMultilevel"/>
    <w:tmpl w:val="8D685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3B2E99"/>
    <w:multiLevelType w:val="hybridMultilevel"/>
    <w:tmpl w:val="DE9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5061D9"/>
    <w:multiLevelType w:val="hybridMultilevel"/>
    <w:tmpl w:val="3816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655F09"/>
    <w:multiLevelType w:val="multilevel"/>
    <w:tmpl w:val="42029348"/>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1" w15:restartNumberingAfterBreak="0">
    <w:nsid w:val="29096F70"/>
    <w:multiLevelType w:val="multilevel"/>
    <w:tmpl w:val="1A34825A"/>
    <w:lvl w:ilvl="0">
      <w:start w:val="1"/>
      <w:numFmt w:val="decimal"/>
      <w:lvlText w:val="%1"/>
      <w:lvlJc w:val="left"/>
      <w:pPr>
        <w:ind w:left="360" w:hanging="360"/>
      </w:pPr>
      <w:rPr>
        <w:rFonts w:hint="default"/>
        <w:b w:val="0"/>
      </w:rPr>
    </w:lvl>
    <w:lvl w:ilvl="1">
      <w:start w:val="4"/>
      <w:numFmt w:val="decimal"/>
      <w:lvlText w:val="%1.%2"/>
      <w:lvlJc w:val="left"/>
      <w:pPr>
        <w:ind w:left="54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AAD77F2"/>
    <w:multiLevelType w:val="hybridMultilevel"/>
    <w:tmpl w:val="897A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245437"/>
    <w:multiLevelType w:val="multilevel"/>
    <w:tmpl w:val="2C06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8450E2"/>
    <w:multiLevelType w:val="multilevel"/>
    <w:tmpl w:val="790A0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DC0CBD"/>
    <w:multiLevelType w:val="multilevel"/>
    <w:tmpl w:val="5362408A"/>
    <w:lvl w:ilvl="0">
      <w:start w:val="1"/>
      <w:numFmt w:val="decimal"/>
      <w:lvlText w:val="%1.0"/>
      <w:lvlJc w:val="left"/>
      <w:pPr>
        <w:tabs>
          <w:tab w:val="num" w:pos="465"/>
        </w:tabs>
        <w:ind w:left="465" w:hanging="465"/>
      </w:pPr>
      <w:rPr>
        <w:rFonts w:hint="default"/>
      </w:rPr>
    </w:lvl>
    <w:lvl w:ilvl="1">
      <w:start w:val="1"/>
      <w:numFmt w:val="decimal"/>
      <w:lvlText w:val="%1.%2"/>
      <w:lvlJc w:val="left"/>
      <w:pPr>
        <w:tabs>
          <w:tab w:val="num" w:pos="1742"/>
        </w:tabs>
        <w:ind w:left="1742" w:hanging="465"/>
      </w:pPr>
      <w:rPr>
        <w:rFonts w:hint="default"/>
        <w:b w:val="0"/>
        <w:strike w:val="0"/>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38EF79F0"/>
    <w:multiLevelType w:val="multilevel"/>
    <w:tmpl w:val="661242C2"/>
    <w:lvl w:ilvl="0">
      <w:start w:val="1"/>
      <w:numFmt w:val="decimal"/>
      <w:lvlText w:val="%1"/>
      <w:lvlJc w:val="left"/>
      <w:pPr>
        <w:ind w:left="435" w:hanging="435"/>
      </w:pPr>
      <w:rPr>
        <w:rFonts w:hint="default"/>
      </w:rPr>
    </w:lvl>
    <w:lvl w:ilvl="1">
      <w:start w:val="6"/>
      <w:numFmt w:val="decimal"/>
      <w:lvlText w:val="%1.%2"/>
      <w:lvlJc w:val="left"/>
      <w:pPr>
        <w:ind w:left="577" w:hanging="435"/>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47CB7F40"/>
    <w:multiLevelType w:val="multilevel"/>
    <w:tmpl w:val="02A6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857D4"/>
    <w:multiLevelType w:val="hybridMultilevel"/>
    <w:tmpl w:val="B8726F2C"/>
    <w:lvl w:ilvl="0" w:tplc="5372CDE6">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163421"/>
    <w:multiLevelType w:val="hybridMultilevel"/>
    <w:tmpl w:val="1E1C65E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24068D"/>
    <w:multiLevelType w:val="hybridMultilevel"/>
    <w:tmpl w:val="219A6176"/>
    <w:lvl w:ilvl="0" w:tplc="53F8DF40">
      <w:numFmt w:val="bullet"/>
      <w:lvlText w:val="•"/>
      <w:lvlJc w:val="left"/>
      <w:pPr>
        <w:ind w:left="2585" w:hanging="360"/>
      </w:pPr>
      <w:rPr>
        <w:rFonts w:ascii="Poppins" w:eastAsia="Poppins" w:hAnsi="Poppins" w:cs="Poppins" w:hint="default"/>
        <w:spacing w:val="0"/>
        <w:w w:val="100"/>
        <w:lang w:val="en-US" w:eastAsia="en-US" w:bidi="ar-SA"/>
      </w:rPr>
    </w:lvl>
    <w:lvl w:ilvl="1" w:tplc="27928B9A">
      <w:numFmt w:val="bullet"/>
      <w:lvlText w:val="•"/>
      <w:lvlJc w:val="left"/>
      <w:pPr>
        <w:ind w:left="3396" w:hanging="360"/>
      </w:pPr>
      <w:rPr>
        <w:rFonts w:hint="default"/>
        <w:lang w:val="en-US" w:eastAsia="en-US" w:bidi="ar-SA"/>
      </w:rPr>
    </w:lvl>
    <w:lvl w:ilvl="2" w:tplc="F516FCEC">
      <w:numFmt w:val="bullet"/>
      <w:lvlText w:val="•"/>
      <w:lvlJc w:val="left"/>
      <w:pPr>
        <w:ind w:left="4213" w:hanging="360"/>
      </w:pPr>
      <w:rPr>
        <w:rFonts w:hint="default"/>
        <w:lang w:val="en-US" w:eastAsia="en-US" w:bidi="ar-SA"/>
      </w:rPr>
    </w:lvl>
    <w:lvl w:ilvl="3" w:tplc="97A2A474">
      <w:numFmt w:val="bullet"/>
      <w:lvlText w:val="•"/>
      <w:lvlJc w:val="left"/>
      <w:pPr>
        <w:ind w:left="5029" w:hanging="360"/>
      </w:pPr>
      <w:rPr>
        <w:rFonts w:hint="default"/>
        <w:lang w:val="en-US" w:eastAsia="en-US" w:bidi="ar-SA"/>
      </w:rPr>
    </w:lvl>
    <w:lvl w:ilvl="4" w:tplc="8A9AA8F4">
      <w:numFmt w:val="bullet"/>
      <w:lvlText w:val="•"/>
      <w:lvlJc w:val="left"/>
      <w:pPr>
        <w:ind w:left="5846" w:hanging="360"/>
      </w:pPr>
      <w:rPr>
        <w:rFonts w:hint="default"/>
        <w:lang w:val="en-US" w:eastAsia="en-US" w:bidi="ar-SA"/>
      </w:rPr>
    </w:lvl>
    <w:lvl w:ilvl="5" w:tplc="455C63C2">
      <w:numFmt w:val="bullet"/>
      <w:lvlText w:val="•"/>
      <w:lvlJc w:val="left"/>
      <w:pPr>
        <w:ind w:left="6662" w:hanging="360"/>
      </w:pPr>
      <w:rPr>
        <w:rFonts w:hint="default"/>
        <w:lang w:val="en-US" w:eastAsia="en-US" w:bidi="ar-SA"/>
      </w:rPr>
    </w:lvl>
    <w:lvl w:ilvl="6" w:tplc="6BF6214A">
      <w:numFmt w:val="bullet"/>
      <w:lvlText w:val="•"/>
      <w:lvlJc w:val="left"/>
      <w:pPr>
        <w:ind w:left="7479" w:hanging="360"/>
      </w:pPr>
      <w:rPr>
        <w:rFonts w:hint="default"/>
        <w:lang w:val="en-US" w:eastAsia="en-US" w:bidi="ar-SA"/>
      </w:rPr>
    </w:lvl>
    <w:lvl w:ilvl="7" w:tplc="74929C2C">
      <w:numFmt w:val="bullet"/>
      <w:lvlText w:val="•"/>
      <w:lvlJc w:val="left"/>
      <w:pPr>
        <w:ind w:left="8295" w:hanging="360"/>
      </w:pPr>
      <w:rPr>
        <w:rFonts w:hint="default"/>
        <w:lang w:val="en-US" w:eastAsia="en-US" w:bidi="ar-SA"/>
      </w:rPr>
    </w:lvl>
    <w:lvl w:ilvl="8" w:tplc="D2A8FA80">
      <w:numFmt w:val="bullet"/>
      <w:lvlText w:val="•"/>
      <w:lvlJc w:val="left"/>
      <w:pPr>
        <w:ind w:left="9112" w:hanging="360"/>
      </w:pPr>
      <w:rPr>
        <w:rFonts w:hint="default"/>
        <w:lang w:val="en-US" w:eastAsia="en-US" w:bidi="ar-SA"/>
      </w:rPr>
    </w:lvl>
  </w:abstractNum>
  <w:abstractNum w:abstractNumId="21" w15:restartNumberingAfterBreak="0">
    <w:nsid w:val="5626253F"/>
    <w:multiLevelType w:val="hybridMultilevel"/>
    <w:tmpl w:val="562EB5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15323D"/>
    <w:multiLevelType w:val="hybridMultilevel"/>
    <w:tmpl w:val="316683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C6689F"/>
    <w:multiLevelType w:val="hybridMultilevel"/>
    <w:tmpl w:val="52A4B0C0"/>
    <w:lvl w:ilvl="0" w:tplc="4B708D1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534FA"/>
    <w:multiLevelType w:val="hybridMultilevel"/>
    <w:tmpl w:val="0686AD36"/>
    <w:lvl w:ilvl="0" w:tplc="F474A81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1327D3"/>
    <w:multiLevelType w:val="multilevel"/>
    <w:tmpl w:val="09AA2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C84CC1"/>
    <w:multiLevelType w:val="hybridMultilevel"/>
    <w:tmpl w:val="A7A01B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7237F5"/>
    <w:multiLevelType w:val="multilevel"/>
    <w:tmpl w:val="C8F04B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B302A89"/>
    <w:multiLevelType w:val="hybridMultilevel"/>
    <w:tmpl w:val="1BCE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CB5B8A"/>
    <w:multiLevelType w:val="multilevel"/>
    <w:tmpl w:val="F8EE8AC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2"/>
  </w:num>
  <w:num w:numId="3">
    <w:abstractNumId w:val="4"/>
  </w:num>
  <w:num w:numId="4">
    <w:abstractNumId w:val="6"/>
  </w:num>
  <w:num w:numId="5">
    <w:abstractNumId w:val="18"/>
  </w:num>
  <w:num w:numId="6">
    <w:abstractNumId w:val="15"/>
  </w:num>
  <w:num w:numId="7">
    <w:abstractNumId w:val="29"/>
  </w:num>
  <w:num w:numId="8">
    <w:abstractNumId w:val="14"/>
  </w:num>
  <w:num w:numId="9">
    <w:abstractNumId w:val="11"/>
  </w:num>
  <w:num w:numId="10">
    <w:abstractNumId w:val="27"/>
  </w:num>
  <w:num w:numId="11">
    <w:abstractNumId w:val="1"/>
  </w:num>
  <w:num w:numId="12">
    <w:abstractNumId w:val="28"/>
  </w:num>
  <w:num w:numId="13">
    <w:abstractNumId w:val="7"/>
  </w:num>
  <w:num w:numId="14">
    <w:abstractNumId w:val="24"/>
  </w:num>
  <w:num w:numId="15">
    <w:abstractNumId w:val="24"/>
  </w:num>
  <w:num w:numId="16">
    <w:abstractNumId w:val="9"/>
  </w:num>
  <w:num w:numId="17">
    <w:abstractNumId w:val="5"/>
  </w:num>
  <w:num w:numId="18">
    <w:abstractNumId w:val="8"/>
  </w:num>
  <w:num w:numId="19">
    <w:abstractNumId w:val="17"/>
  </w:num>
  <w:num w:numId="20">
    <w:abstractNumId w:val="13"/>
  </w:num>
  <w:num w:numId="21">
    <w:abstractNumId w:val="16"/>
  </w:num>
  <w:num w:numId="22">
    <w:abstractNumId w:val="2"/>
  </w:num>
  <w:num w:numId="23">
    <w:abstractNumId w:val="19"/>
  </w:num>
  <w:num w:numId="24">
    <w:abstractNumId w:val="26"/>
  </w:num>
  <w:num w:numId="25">
    <w:abstractNumId w:val="22"/>
  </w:num>
  <w:num w:numId="26">
    <w:abstractNumId w:val="23"/>
  </w:num>
  <w:num w:numId="27">
    <w:abstractNumId w:val="10"/>
  </w:num>
  <w:num w:numId="28">
    <w:abstractNumId w:val="20"/>
  </w:num>
  <w:num w:numId="29">
    <w:abstractNumId w:val="25"/>
  </w:num>
  <w:num w:numId="30">
    <w:abstractNumId w:val="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94"/>
    <w:rsid w:val="00000C8D"/>
    <w:rsid w:val="00013FD8"/>
    <w:rsid w:val="00034D2B"/>
    <w:rsid w:val="00037050"/>
    <w:rsid w:val="0005102C"/>
    <w:rsid w:val="00057F6A"/>
    <w:rsid w:val="00066239"/>
    <w:rsid w:val="00081FA0"/>
    <w:rsid w:val="00083DB6"/>
    <w:rsid w:val="000A2CB2"/>
    <w:rsid w:val="000A5987"/>
    <w:rsid w:val="000B46A4"/>
    <w:rsid w:val="000C0208"/>
    <w:rsid w:val="000C158D"/>
    <w:rsid w:val="000C421F"/>
    <w:rsid w:val="000D3D42"/>
    <w:rsid w:val="000F0A50"/>
    <w:rsid w:val="00110B18"/>
    <w:rsid w:val="00112F10"/>
    <w:rsid w:val="001273E5"/>
    <w:rsid w:val="00134060"/>
    <w:rsid w:val="0013450E"/>
    <w:rsid w:val="00142977"/>
    <w:rsid w:val="001604A7"/>
    <w:rsid w:val="00171993"/>
    <w:rsid w:val="001719BB"/>
    <w:rsid w:val="00181F50"/>
    <w:rsid w:val="00191171"/>
    <w:rsid w:val="0019435E"/>
    <w:rsid w:val="001C0622"/>
    <w:rsid w:val="001C7A2E"/>
    <w:rsid w:val="001E7710"/>
    <w:rsid w:val="002058FA"/>
    <w:rsid w:val="00212821"/>
    <w:rsid w:val="00213288"/>
    <w:rsid w:val="002146D4"/>
    <w:rsid w:val="002212A6"/>
    <w:rsid w:val="00231371"/>
    <w:rsid w:val="00233158"/>
    <w:rsid w:val="00243AAB"/>
    <w:rsid w:val="00253566"/>
    <w:rsid w:val="002558B2"/>
    <w:rsid w:val="00262F79"/>
    <w:rsid w:val="002704F3"/>
    <w:rsid w:val="00282EB6"/>
    <w:rsid w:val="0028504C"/>
    <w:rsid w:val="00286C49"/>
    <w:rsid w:val="002A0EF1"/>
    <w:rsid w:val="002A3116"/>
    <w:rsid w:val="002A435D"/>
    <w:rsid w:val="002A6C62"/>
    <w:rsid w:val="002B4548"/>
    <w:rsid w:val="002C57AF"/>
    <w:rsid w:val="002C6DF3"/>
    <w:rsid w:val="002D0632"/>
    <w:rsid w:val="002D26D5"/>
    <w:rsid w:val="002D68DE"/>
    <w:rsid w:val="002E162F"/>
    <w:rsid w:val="002E1725"/>
    <w:rsid w:val="002F63AC"/>
    <w:rsid w:val="002F6D4E"/>
    <w:rsid w:val="00300555"/>
    <w:rsid w:val="0031225E"/>
    <w:rsid w:val="00316B9E"/>
    <w:rsid w:val="003176A2"/>
    <w:rsid w:val="00323DE3"/>
    <w:rsid w:val="003249E6"/>
    <w:rsid w:val="003503BC"/>
    <w:rsid w:val="0035716B"/>
    <w:rsid w:val="0037145F"/>
    <w:rsid w:val="00377751"/>
    <w:rsid w:val="003875E7"/>
    <w:rsid w:val="003956D9"/>
    <w:rsid w:val="003A5420"/>
    <w:rsid w:val="003C4699"/>
    <w:rsid w:val="003D3DC6"/>
    <w:rsid w:val="003E3A9F"/>
    <w:rsid w:val="00407539"/>
    <w:rsid w:val="0041338D"/>
    <w:rsid w:val="004166C8"/>
    <w:rsid w:val="00424FE2"/>
    <w:rsid w:val="0042607D"/>
    <w:rsid w:val="004378D7"/>
    <w:rsid w:val="004438E8"/>
    <w:rsid w:val="0044473F"/>
    <w:rsid w:val="0044535F"/>
    <w:rsid w:val="00446801"/>
    <w:rsid w:val="004556F3"/>
    <w:rsid w:val="004A6E0C"/>
    <w:rsid w:val="004C656C"/>
    <w:rsid w:val="004C7464"/>
    <w:rsid w:val="004E2AD9"/>
    <w:rsid w:val="00506180"/>
    <w:rsid w:val="00517AD1"/>
    <w:rsid w:val="005422AB"/>
    <w:rsid w:val="0054398E"/>
    <w:rsid w:val="005569E0"/>
    <w:rsid w:val="005717A3"/>
    <w:rsid w:val="005852E1"/>
    <w:rsid w:val="00587C2B"/>
    <w:rsid w:val="00591B5C"/>
    <w:rsid w:val="005A45FA"/>
    <w:rsid w:val="005A7466"/>
    <w:rsid w:val="005B2BC2"/>
    <w:rsid w:val="005D0D9D"/>
    <w:rsid w:val="005D4C17"/>
    <w:rsid w:val="005E1A87"/>
    <w:rsid w:val="005E43B8"/>
    <w:rsid w:val="005E5304"/>
    <w:rsid w:val="005F45C1"/>
    <w:rsid w:val="0061530F"/>
    <w:rsid w:val="00622EDC"/>
    <w:rsid w:val="006230CF"/>
    <w:rsid w:val="00625454"/>
    <w:rsid w:val="00625D30"/>
    <w:rsid w:val="00627197"/>
    <w:rsid w:val="00633830"/>
    <w:rsid w:val="006361BD"/>
    <w:rsid w:val="006417FB"/>
    <w:rsid w:val="006506A6"/>
    <w:rsid w:val="006506CB"/>
    <w:rsid w:val="006849C6"/>
    <w:rsid w:val="00686F6F"/>
    <w:rsid w:val="00693FE4"/>
    <w:rsid w:val="00696460"/>
    <w:rsid w:val="006A25CF"/>
    <w:rsid w:val="006A4214"/>
    <w:rsid w:val="00704EB1"/>
    <w:rsid w:val="007100C9"/>
    <w:rsid w:val="00712777"/>
    <w:rsid w:val="00740FAA"/>
    <w:rsid w:val="00741547"/>
    <w:rsid w:val="00741BC6"/>
    <w:rsid w:val="00746AF2"/>
    <w:rsid w:val="007508DE"/>
    <w:rsid w:val="0076184E"/>
    <w:rsid w:val="00763B7E"/>
    <w:rsid w:val="00765A5A"/>
    <w:rsid w:val="00775890"/>
    <w:rsid w:val="007767FC"/>
    <w:rsid w:val="00782411"/>
    <w:rsid w:val="00794850"/>
    <w:rsid w:val="00796469"/>
    <w:rsid w:val="007A1082"/>
    <w:rsid w:val="007A509B"/>
    <w:rsid w:val="007B403B"/>
    <w:rsid w:val="007B781E"/>
    <w:rsid w:val="007C5376"/>
    <w:rsid w:val="007D590E"/>
    <w:rsid w:val="0080054D"/>
    <w:rsid w:val="00800FF1"/>
    <w:rsid w:val="008048A8"/>
    <w:rsid w:val="00811510"/>
    <w:rsid w:val="00841E0E"/>
    <w:rsid w:val="00842281"/>
    <w:rsid w:val="00855384"/>
    <w:rsid w:val="00862740"/>
    <w:rsid w:val="0088206C"/>
    <w:rsid w:val="00882D74"/>
    <w:rsid w:val="008A28E0"/>
    <w:rsid w:val="008C6D8E"/>
    <w:rsid w:val="008D1EB8"/>
    <w:rsid w:val="008E1622"/>
    <w:rsid w:val="008E7CA7"/>
    <w:rsid w:val="008F08EB"/>
    <w:rsid w:val="008F6F79"/>
    <w:rsid w:val="0090063C"/>
    <w:rsid w:val="00903E28"/>
    <w:rsid w:val="009239DF"/>
    <w:rsid w:val="00931300"/>
    <w:rsid w:val="00932E83"/>
    <w:rsid w:val="00933DF6"/>
    <w:rsid w:val="009374EE"/>
    <w:rsid w:val="00944C3E"/>
    <w:rsid w:val="0097121E"/>
    <w:rsid w:val="00974B49"/>
    <w:rsid w:val="00977019"/>
    <w:rsid w:val="00977FEF"/>
    <w:rsid w:val="009910BB"/>
    <w:rsid w:val="009945F0"/>
    <w:rsid w:val="0099515B"/>
    <w:rsid w:val="009C275A"/>
    <w:rsid w:val="009C29F3"/>
    <w:rsid w:val="009D0E40"/>
    <w:rsid w:val="009D7FF7"/>
    <w:rsid w:val="009E005D"/>
    <w:rsid w:val="009E1F52"/>
    <w:rsid w:val="00A02581"/>
    <w:rsid w:val="00A1267C"/>
    <w:rsid w:val="00A17ABD"/>
    <w:rsid w:val="00A45A66"/>
    <w:rsid w:val="00A542D7"/>
    <w:rsid w:val="00A6152E"/>
    <w:rsid w:val="00A673F2"/>
    <w:rsid w:val="00A73664"/>
    <w:rsid w:val="00A866AC"/>
    <w:rsid w:val="00AC0CA3"/>
    <w:rsid w:val="00AE1E99"/>
    <w:rsid w:val="00AE3ADA"/>
    <w:rsid w:val="00AF0D5C"/>
    <w:rsid w:val="00B03552"/>
    <w:rsid w:val="00B11145"/>
    <w:rsid w:val="00B15594"/>
    <w:rsid w:val="00B20811"/>
    <w:rsid w:val="00B63CF0"/>
    <w:rsid w:val="00B915FB"/>
    <w:rsid w:val="00B95FBE"/>
    <w:rsid w:val="00B97EE2"/>
    <w:rsid w:val="00BA16F6"/>
    <w:rsid w:val="00BA316F"/>
    <w:rsid w:val="00BE2123"/>
    <w:rsid w:val="00BE38D5"/>
    <w:rsid w:val="00BE3CA0"/>
    <w:rsid w:val="00BE4AA7"/>
    <w:rsid w:val="00BE56B0"/>
    <w:rsid w:val="00C06D6E"/>
    <w:rsid w:val="00C22290"/>
    <w:rsid w:val="00C2392A"/>
    <w:rsid w:val="00C272E2"/>
    <w:rsid w:val="00C36D7B"/>
    <w:rsid w:val="00C43511"/>
    <w:rsid w:val="00C660DB"/>
    <w:rsid w:val="00C71F1F"/>
    <w:rsid w:val="00C85F8F"/>
    <w:rsid w:val="00C87985"/>
    <w:rsid w:val="00C91D56"/>
    <w:rsid w:val="00C942ED"/>
    <w:rsid w:val="00C96AB6"/>
    <w:rsid w:val="00CB4050"/>
    <w:rsid w:val="00CB4BA0"/>
    <w:rsid w:val="00CB7440"/>
    <w:rsid w:val="00CC51C0"/>
    <w:rsid w:val="00CF118A"/>
    <w:rsid w:val="00CF59FA"/>
    <w:rsid w:val="00D0454E"/>
    <w:rsid w:val="00D121C7"/>
    <w:rsid w:val="00D169B2"/>
    <w:rsid w:val="00D27921"/>
    <w:rsid w:val="00D33A35"/>
    <w:rsid w:val="00D35D0D"/>
    <w:rsid w:val="00D63820"/>
    <w:rsid w:val="00D757A4"/>
    <w:rsid w:val="00D81A86"/>
    <w:rsid w:val="00DB1EA6"/>
    <w:rsid w:val="00DB408E"/>
    <w:rsid w:val="00DC6CC2"/>
    <w:rsid w:val="00DD225C"/>
    <w:rsid w:val="00DD504F"/>
    <w:rsid w:val="00DD56F5"/>
    <w:rsid w:val="00DE7AC0"/>
    <w:rsid w:val="00DF1D30"/>
    <w:rsid w:val="00E06B2A"/>
    <w:rsid w:val="00E06CF2"/>
    <w:rsid w:val="00E071E2"/>
    <w:rsid w:val="00E13765"/>
    <w:rsid w:val="00E1747D"/>
    <w:rsid w:val="00E35D54"/>
    <w:rsid w:val="00E47F8A"/>
    <w:rsid w:val="00E63E73"/>
    <w:rsid w:val="00E80DC9"/>
    <w:rsid w:val="00EC2E9A"/>
    <w:rsid w:val="00EC3FBE"/>
    <w:rsid w:val="00EC618A"/>
    <w:rsid w:val="00EC7595"/>
    <w:rsid w:val="00ED5985"/>
    <w:rsid w:val="00ED7459"/>
    <w:rsid w:val="00EE4B4A"/>
    <w:rsid w:val="00EF124C"/>
    <w:rsid w:val="00F10665"/>
    <w:rsid w:val="00F15846"/>
    <w:rsid w:val="00F16B34"/>
    <w:rsid w:val="00F17872"/>
    <w:rsid w:val="00F2233B"/>
    <w:rsid w:val="00F336AF"/>
    <w:rsid w:val="00F50BF2"/>
    <w:rsid w:val="00F6215B"/>
    <w:rsid w:val="00F64B00"/>
    <w:rsid w:val="00F86182"/>
    <w:rsid w:val="00F87BF5"/>
    <w:rsid w:val="00FA3BD0"/>
    <w:rsid w:val="00FA518D"/>
    <w:rsid w:val="00FB4009"/>
    <w:rsid w:val="00FC4955"/>
    <w:rsid w:val="00FC4B2A"/>
    <w:rsid w:val="00FC4F2D"/>
    <w:rsid w:val="00FD0A6E"/>
    <w:rsid w:val="00FD492B"/>
    <w:rsid w:val="00FD4987"/>
    <w:rsid w:val="00FE0E9F"/>
    <w:rsid w:val="00FE643A"/>
    <w:rsid w:val="00FF36A7"/>
    <w:rsid w:val="015528AD"/>
    <w:rsid w:val="03CF52E4"/>
    <w:rsid w:val="046B634C"/>
    <w:rsid w:val="0487FB20"/>
    <w:rsid w:val="0BE802AB"/>
    <w:rsid w:val="1A01EDF2"/>
    <w:rsid w:val="1ABA47B0"/>
    <w:rsid w:val="21B4B250"/>
    <w:rsid w:val="21D313C2"/>
    <w:rsid w:val="288538B4"/>
    <w:rsid w:val="2A509A9C"/>
    <w:rsid w:val="2FDBBE8F"/>
    <w:rsid w:val="34EAEBE5"/>
    <w:rsid w:val="3772B547"/>
    <w:rsid w:val="388A932B"/>
    <w:rsid w:val="3C0EBC60"/>
    <w:rsid w:val="42977AE6"/>
    <w:rsid w:val="4E752BDD"/>
    <w:rsid w:val="4F8D27D6"/>
    <w:rsid w:val="537DBD00"/>
    <w:rsid w:val="5DA98A4A"/>
    <w:rsid w:val="5E0D0F01"/>
    <w:rsid w:val="5F55CD2A"/>
    <w:rsid w:val="60695470"/>
    <w:rsid w:val="670624DD"/>
    <w:rsid w:val="69F8D0E7"/>
    <w:rsid w:val="6EFB18A3"/>
    <w:rsid w:val="73DC90FC"/>
    <w:rsid w:val="77FAD21A"/>
    <w:rsid w:val="7CE21F91"/>
    <w:rsid w:val="7D14C2FD"/>
    <w:rsid w:val="7D57D0D0"/>
    <w:rsid w:val="7E5C4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F0A6D"/>
  <w15:docId w15:val="{174789BC-D018-4FA6-98FA-5076307E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4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8E7CA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6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665"/>
  </w:style>
  <w:style w:type="paragraph" w:styleId="Footer">
    <w:name w:val="footer"/>
    <w:basedOn w:val="Normal"/>
    <w:link w:val="FooterChar"/>
    <w:uiPriority w:val="99"/>
    <w:unhideWhenUsed/>
    <w:rsid w:val="00F106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665"/>
  </w:style>
  <w:style w:type="paragraph" w:styleId="ListParagraph">
    <w:name w:val="List Paragraph"/>
    <w:basedOn w:val="Normal"/>
    <w:uiPriority w:val="1"/>
    <w:qFormat/>
    <w:rsid w:val="00F10665"/>
    <w:pPr>
      <w:ind w:left="720"/>
      <w:contextualSpacing/>
    </w:pPr>
  </w:style>
  <w:style w:type="character" w:styleId="Hyperlink">
    <w:name w:val="Hyperlink"/>
    <w:basedOn w:val="DefaultParagraphFont"/>
    <w:uiPriority w:val="99"/>
    <w:unhideWhenUsed/>
    <w:rsid w:val="00377751"/>
    <w:rPr>
      <w:color w:val="0563C1" w:themeColor="hyperlink"/>
      <w:u w:val="single"/>
    </w:rPr>
  </w:style>
  <w:style w:type="paragraph" w:styleId="BalloonText">
    <w:name w:val="Balloon Text"/>
    <w:basedOn w:val="Normal"/>
    <w:link w:val="BalloonTextChar"/>
    <w:uiPriority w:val="99"/>
    <w:semiHidden/>
    <w:unhideWhenUsed/>
    <w:rsid w:val="00FB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009"/>
    <w:rPr>
      <w:rFonts w:ascii="Segoe UI" w:hAnsi="Segoe UI" w:cs="Segoe UI"/>
      <w:sz w:val="18"/>
      <w:szCs w:val="18"/>
    </w:rPr>
  </w:style>
  <w:style w:type="character" w:customStyle="1" w:styleId="Heading1Char">
    <w:name w:val="Heading 1 Char"/>
    <w:basedOn w:val="DefaultParagraphFont"/>
    <w:link w:val="Heading1"/>
    <w:uiPriority w:val="9"/>
    <w:rsid w:val="006254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F86182"/>
    <w:rPr>
      <w:color w:val="954F72" w:themeColor="followedHyperlink"/>
      <w:u w:val="single"/>
    </w:rPr>
  </w:style>
  <w:style w:type="paragraph" w:customStyle="1" w:styleId="Default">
    <w:name w:val="Default"/>
    <w:rsid w:val="00E06CF2"/>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F336AF"/>
    <w:rPr>
      <w:color w:val="605E5C"/>
      <w:shd w:val="clear" w:color="auto" w:fill="E1DFDD"/>
    </w:rPr>
  </w:style>
  <w:style w:type="paragraph" w:customStyle="1" w:styleId="xmsonormal">
    <w:name w:val="x_msonormal"/>
    <w:basedOn w:val="Normal"/>
    <w:rsid w:val="003122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BE56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765A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66239"/>
    <w:pPr>
      <w:spacing w:after="0" w:line="240" w:lineRule="auto"/>
    </w:pPr>
  </w:style>
  <w:style w:type="paragraph" w:customStyle="1" w:styleId="xxxmsonormal">
    <w:name w:val="x_x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ruwgoh5j">
    <w:name w:val="markmruwgoh5j"/>
    <w:basedOn w:val="DefaultParagraphFont"/>
    <w:rsid w:val="00E80DC9"/>
  </w:style>
  <w:style w:type="paragraph" w:customStyle="1" w:styleId="xxmsonormal">
    <w:name w:val="x_xmsonormal"/>
    <w:basedOn w:val="Normal"/>
    <w:rsid w:val="00E80D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7a2yjl5u4">
    <w:name w:val="mark7a2yjl5u4"/>
    <w:basedOn w:val="DefaultParagraphFont"/>
    <w:rsid w:val="00E80DC9"/>
  </w:style>
  <w:style w:type="character" w:customStyle="1" w:styleId="Heading3Char">
    <w:name w:val="Heading 3 Char"/>
    <w:basedOn w:val="DefaultParagraphFont"/>
    <w:link w:val="Heading3"/>
    <w:uiPriority w:val="9"/>
    <w:rsid w:val="008E7CA7"/>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8E7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CA7"/>
    <w:rPr>
      <w:sz w:val="20"/>
      <w:szCs w:val="20"/>
    </w:rPr>
  </w:style>
  <w:style w:type="character" w:styleId="FootnoteReference">
    <w:name w:val="footnote reference"/>
    <w:basedOn w:val="DefaultParagraphFont"/>
    <w:uiPriority w:val="99"/>
    <w:semiHidden/>
    <w:unhideWhenUsed/>
    <w:rsid w:val="008E7CA7"/>
    <w:rPr>
      <w:vertAlign w:val="superscript"/>
    </w:rPr>
  </w:style>
  <w:style w:type="paragraph" w:customStyle="1" w:styleId="paragraph">
    <w:name w:val="paragraph"/>
    <w:basedOn w:val="Normal"/>
    <w:rsid w:val="008E7CA7"/>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OC3">
    <w:name w:val="toc 3"/>
    <w:basedOn w:val="Normal"/>
    <w:next w:val="Normal"/>
    <w:autoRedefine/>
    <w:uiPriority w:val="39"/>
    <w:unhideWhenUsed/>
    <w:rsid w:val="008E7CA7"/>
    <w:pPr>
      <w:spacing w:after="100"/>
      <w:ind w:left="440"/>
    </w:pPr>
  </w:style>
  <w:style w:type="paragraph" w:styleId="BodyText">
    <w:name w:val="Body Text"/>
    <w:basedOn w:val="Normal"/>
    <w:link w:val="BodyTextChar"/>
    <w:uiPriority w:val="1"/>
    <w:qFormat/>
    <w:rsid w:val="006A4214"/>
    <w:pPr>
      <w:widowControl w:val="0"/>
      <w:autoSpaceDE w:val="0"/>
      <w:autoSpaceDN w:val="0"/>
      <w:spacing w:after="0" w:line="240" w:lineRule="auto"/>
    </w:pPr>
    <w:rPr>
      <w:rFonts w:ascii="Poppins" w:eastAsia="Poppins" w:hAnsi="Poppins" w:cs="Poppins"/>
      <w:lang w:val="en-US"/>
    </w:rPr>
  </w:style>
  <w:style w:type="character" w:customStyle="1" w:styleId="BodyTextChar">
    <w:name w:val="Body Text Char"/>
    <w:basedOn w:val="DefaultParagraphFont"/>
    <w:link w:val="BodyText"/>
    <w:uiPriority w:val="1"/>
    <w:rsid w:val="006A4214"/>
    <w:rPr>
      <w:rFonts w:ascii="Poppins" w:eastAsia="Poppins" w:hAnsi="Poppins" w:cs="Poppins"/>
      <w:lang w:val="en-US"/>
    </w:rPr>
  </w:style>
  <w:style w:type="paragraph" w:customStyle="1" w:styleId="xmsonormal0">
    <w:name w:val="xmsonormal"/>
    <w:basedOn w:val="Normal"/>
    <w:rsid w:val="00686F6F"/>
    <w:pPr>
      <w:spacing w:after="0" w:line="240" w:lineRule="auto"/>
    </w:pPr>
    <w:rPr>
      <w:rFonts w:ascii="Calibri" w:hAnsi="Calibri" w:cs="Calibri"/>
      <w:lang w:eastAsia="en-GB"/>
    </w:rPr>
  </w:style>
  <w:style w:type="character" w:customStyle="1" w:styleId="contentpasted0">
    <w:name w:val="contentpasted0"/>
    <w:basedOn w:val="DefaultParagraphFont"/>
    <w:rsid w:val="0068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7566">
      <w:bodyDiv w:val="1"/>
      <w:marLeft w:val="0"/>
      <w:marRight w:val="0"/>
      <w:marTop w:val="0"/>
      <w:marBottom w:val="0"/>
      <w:divBdr>
        <w:top w:val="none" w:sz="0" w:space="0" w:color="auto"/>
        <w:left w:val="none" w:sz="0" w:space="0" w:color="auto"/>
        <w:bottom w:val="none" w:sz="0" w:space="0" w:color="auto"/>
        <w:right w:val="none" w:sz="0" w:space="0" w:color="auto"/>
      </w:divBdr>
    </w:div>
    <w:div w:id="253246614">
      <w:bodyDiv w:val="1"/>
      <w:marLeft w:val="0"/>
      <w:marRight w:val="0"/>
      <w:marTop w:val="0"/>
      <w:marBottom w:val="0"/>
      <w:divBdr>
        <w:top w:val="none" w:sz="0" w:space="0" w:color="auto"/>
        <w:left w:val="none" w:sz="0" w:space="0" w:color="auto"/>
        <w:bottom w:val="none" w:sz="0" w:space="0" w:color="auto"/>
        <w:right w:val="none" w:sz="0" w:space="0" w:color="auto"/>
      </w:divBdr>
    </w:div>
    <w:div w:id="297339426">
      <w:bodyDiv w:val="1"/>
      <w:marLeft w:val="0"/>
      <w:marRight w:val="0"/>
      <w:marTop w:val="0"/>
      <w:marBottom w:val="0"/>
      <w:divBdr>
        <w:top w:val="none" w:sz="0" w:space="0" w:color="auto"/>
        <w:left w:val="none" w:sz="0" w:space="0" w:color="auto"/>
        <w:bottom w:val="none" w:sz="0" w:space="0" w:color="auto"/>
        <w:right w:val="none" w:sz="0" w:space="0" w:color="auto"/>
      </w:divBdr>
    </w:div>
    <w:div w:id="353311932">
      <w:bodyDiv w:val="1"/>
      <w:marLeft w:val="0"/>
      <w:marRight w:val="0"/>
      <w:marTop w:val="0"/>
      <w:marBottom w:val="0"/>
      <w:divBdr>
        <w:top w:val="none" w:sz="0" w:space="0" w:color="auto"/>
        <w:left w:val="none" w:sz="0" w:space="0" w:color="auto"/>
        <w:bottom w:val="none" w:sz="0" w:space="0" w:color="auto"/>
        <w:right w:val="none" w:sz="0" w:space="0" w:color="auto"/>
      </w:divBdr>
    </w:div>
    <w:div w:id="387654058">
      <w:bodyDiv w:val="1"/>
      <w:marLeft w:val="0"/>
      <w:marRight w:val="0"/>
      <w:marTop w:val="0"/>
      <w:marBottom w:val="0"/>
      <w:divBdr>
        <w:top w:val="none" w:sz="0" w:space="0" w:color="auto"/>
        <w:left w:val="none" w:sz="0" w:space="0" w:color="auto"/>
        <w:bottom w:val="none" w:sz="0" w:space="0" w:color="auto"/>
        <w:right w:val="none" w:sz="0" w:space="0" w:color="auto"/>
      </w:divBdr>
    </w:div>
    <w:div w:id="391192824">
      <w:bodyDiv w:val="1"/>
      <w:marLeft w:val="0"/>
      <w:marRight w:val="0"/>
      <w:marTop w:val="0"/>
      <w:marBottom w:val="0"/>
      <w:divBdr>
        <w:top w:val="none" w:sz="0" w:space="0" w:color="auto"/>
        <w:left w:val="none" w:sz="0" w:space="0" w:color="auto"/>
        <w:bottom w:val="none" w:sz="0" w:space="0" w:color="auto"/>
        <w:right w:val="none" w:sz="0" w:space="0" w:color="auto"/>
      </w:divBdr>
      <w:divsChild>
        <w:div w:id="195774600">
          <w:marLeft w:val="0"/>
          <w:marRight w:val="0"/>
          <w:marTop w:val="0"/>
          <w:marBottom w:val="0"/>
          <w:divBdr>
            <w:top w:val="none" w:sz="0" w:space="0" w:color="auto"/>
            <w:left w:val="none" w:sz="0" w:space="0" w:color="auto"/>
            <w:bottom w:val="none" w:sz="0" w:space="0" w:color="auto"/>
            <w:right w:val="none" w:sz="0" w:space="0" w:color="auto"/>
          </w:divBdr>
        </w:div>
      </w:divsChild>
    </w:div>
    <w:div w:id="473761433">
      <w:bodyDiv w:val="1"/>
      <w:marLeft w:val="0"/>
      <w:marRight w:val="0"/>
      <w:marTop w:val="0"/>
      <w:marBottom w:val="0"/>
      <w:divBdr>
        <w:top w:val="none" w:sz="0" w:space="0" w:color="auto"/>
        <w:left w:val="none" w:sz="0" w:space="0" w:color="auto"/>
        <w:bottom w:val="none" w:sz="0" w:space="0" w:color="auto"/>
        <w:right w:val="none" w:sz="0" w:space="0" w:color="auto"/>
      </w:divBdr>
    </w:div>
    <w:div w:id="794564710">
      <w:bodyDiv w:val="1"/>
      <w:marLeft w:val="0"/>
      <w:marRight w:val="0"/>
      <w:marTop w:val="0"/>
      <w:marBottom w:val="0"/>
      <w:divBdr>
        <w:top w:val="none" w:sz="0" w:space="0" w:color="auto"/>
        <w:left w:val="none" w:sz="0" w:space="0" w:color="auto"/>
        <w:bottom w:val="none" w:sz="0" w:space="0" w:color="auto"/>
        <w:right w:val="none" w:sz="0" w:space="0" w:color="auto"/>
      </w:divBdr>
    </w:div>
    <w:div w:id="1133254223">
      <w:bodyDiv w:val="1"/>
      <w:marLeft w:val="0"/>
      <w:marRight w:val="0"/>
      <w:marTop w:val="0"/>
      <w:marBottom w:val="0"/>
      <w:divBdr>
        <w:top w:val="none" w:sz="0" w:space="0" w:color="auto"/>
        <w:left w:val="none" w:sz="0" w:space="0" w:color="auto"/>
        <w:bottom w:val="none" w:sz="0" w:space="0" w:color="auto"/>
        <w:right w:val="none" w:sz="0" w:space="0" w:color="auto"/>
      </w:divBdr>
    </w:div>
    <w:div w:id="1165126000">
      <w:bodyDiv w:val="1"/>
      <w:marLeft w:val="0"/>
      <w:marRight w:val="0"/>
      <w:marTop w:val="0"/>
      <w:marBottom w:val="0"/>
      <w:divBdr>
        <w:top w:val="none" w:sz="0" w:space="0" w:color="auto"/>
        <w:left w:val="none" w:sz="0" w:space="0" w:color="auto"/>
        <w:bottom w:val="none" w:sz="0" w:space="0" w:color="auto"/>
        <w:right w:val="none" w:sz="0" w:space="0" w:color="auto"/>
      </w:divBdr>
    </w:div>
    <w:div w:id="1433091938">
      <w:bodyDiv w:val="1"/>
      <w:marLeft w:val="0"/>
      <w:marRight w:val="0"/>
      <w:marTop w:val="0"/>
      <w:marBottom w:val="0"/>
      <w:divBdr>
        <w:top w:val="none" w:sz="0" w:space="0" w:color="auto"/>
        <w:left w:val="none" w:sz="0" w:space="0" w:color="auto"/>
        <w:bottom w:val="none" w:sz="0" w:space="0" w:color="auto"/>
        <w:right w:val="none" w:sz="0" w:space="0" w:color="auto"/>
      </w:divBdr>
    </w:div>
    <w:div w:id="1510942728">
      <w:bodyDiv w:val="1"/>
      <w:marLeft w:val="0"/>
      <w:marRight w:val="0"/>
      <w:marTop w:val="0"/>
      <w:marBottom w:val="0"/>
      <w:divBdr>
        <w:top w:val="none" w:sz="0" w:space="0" w:color="auto"/>
        <w:left w:val="none" w:sz="0" w:space="0" w:color="auto"/>
        <w:bottom w:val="none" w:sz="0" w:space="0" w:color="auto"/>
        <w:right w:val="none" w:sz="0" w:space="0" w:color="auto"/>
      </w:divBdr>
    </w:div>
    <w:div w:id="1707942699">
      <w:bodyDiv w:val="1"/>
      <w:marLeft w:val="0"/>
      <w:marRight w:val="0"/>
      <w:marTop w:val="0"/>
      <w:marBottom w:val="0"/>
      <w:divBdr>
        <w:top w:val="none" w:sz="0" w:space="0" w:color="auto"/>
        <w:left w:val="none" w:sz="0" w:space="0" w:color="auto"/>
        <w:bottom w:val="none" w:sz="0" w:space="0" w:color="auto"/>
        <w:right w:val="none" w:sz="0" w:space="0" w:color="auto"/>
      </w:divBdr>
    </w:div>
    <w:div w:id="1935820707">
      <w:bodyDiv w:val="1"/>
      <w:marLeft w:val="0"/>
      <w:marRight w:val="0"/>
      <w:marTop w:val="0"/>
      <w:marBottom w:val="0"/>
      <w:divBdr>
        <w:top w:val="none" w:sz="0" w:space="0" w:color="auto"/>
        <w:left w:val="none" w:sz="0" w:space="0" w:color="auto"/>
        <w:bottom w:val="none" w:sz="0" w:space="0" w:color="auto"/>
        <w:right w:val="none" w:sz="0" w:space="0" w:color="auto"/>
      </w:divBdr>
    </w:div>
    <w:div w:id="20115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THelpdesk@nclan.ac.uk" TargetMode="External"/><Relationship Id="rId18" Type="http://schemas.openxmlformats.org/officeDocument/2006/relationships/hyperlink" Target="https://www.oscr.org.uk/newslett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ain.Clark@nclan.ac.uk" TargetMode="External"/><Relationship Id="rId17" Type="http://schemas.openxmlformats.org/officeDocument/2006/relationships/hyperlink" Target="http://www.oscr.org.uk/" TargetMode="External"/><Relationship Id="rId2" Type="http://schemas.openxmlformats.org/officeDocument/2006/relationships/customXml" Target="../customXml/item2.xml"/><Relationship Id="rId16" Type="http://schemas.openxmlformats.org/officeDocument/2006/relationships/hyperlink" Target="mailto:alison.adams@oscr.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ison.Adams@oscr.org.u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cr.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3.png@01D78F62.D4D4ECD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7596B78CC3C4597FAB75898043552" ma:contentTypeVersion="13" ma:contentTypeDescription="Create a new document." ma:contentTypeScope="" ma:versionID="fbc8eb94e9a7126e1a0456fa2378bff0">
  <xsd:schema xmlns:xsd="http://www.w3.org/2001/XMLSchema" xmlns:xs="http://www.w3.org/2001/XMLSchema" xmlns:p="http://schemas.microsoft.com/office/2006/metadata/properties" xmlns:ns2="4f4e333c-2efb-4ad4-8b61-5066e2346a89" xmlns:ns3="bcea4b4c-e765-48ae-bbb9-1019a0796a3f" targetNamespace="http://schemas.microsoft.com/office/2006/metadata/properties" ma:root="true" ma:fieldsID="ce3329eedca31d357dfdf4dea6eaf882" ns2:_="" ns3:_="">
    <xsd:import namespace="4f4e333c-2efb-4ad4-8b61-5066e2346a89"/>
    <xsd:import namespace="bcea4b4c-e765-48ae-bbb9-1019a0796a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e333c-2efb-4ad4-8b61-5066e2346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d3df8bb-1a17-47d1-9e0a-eeaa900893d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ea4b4c-e765-48ae-bbb9-1019a0796a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e62390e-f7e8-47f7-b33f-4ea9ab837c7d}" ma:internalName="TaxCatchAll" ma:showField="CatchAllData" ma:web="bcea4b4c-e765-48ae-bbb9-1019a0796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ea4b4c-e765-48ae-bbb9-1019a0796a3f" xsi:nil="true"/>
    <lcf76f155ced4ddcb4097134ff3c332f xmlns="4f4e333c-2efb-4ad4-8b61-5066e2346a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03E3-A512-4483-AAED-7C74F277A19E}"/>
</file>

<file path=customXml/itemProps2.xml><?xml version="1.0" encoding="utf-8"?>
<ds:datastoreItem xmlns:ds="http://schemas.openxmlformats.org/officeDocument/2006/customXml" ds:itemID="{2D75ABDA-87C1-4FD8-9910-8CE8398EE112}">
  <ds:schemaRefs>
    <ds:schemaRef ds:uri="http://purl.org/dc/elements/1.1/"/>
    <ds:schemaRef ds:uri="http://purl.org/dc/terms/"/>
    <ds:schemaRef ds:uri="http://schemas.openxmlformats.org/package/2006/metadata/core-properties"/>
    <ds:schemaRef ds:uri="http://purl.org/dc/dcmitype/"/>
    <ds:schemaRef ds:uri="425f2454-5a42-4da4-acc9-1421f5b84bd7"/>
    <ds:schemaRef ds:uri="http://schemas.microsoft.com/office/2006/documentManagement/types"/>
    <ds:schemaRef ds:uri="http://www.w3.org/XML/1998/namespace"/>
    <ds:schemaRef ds:uri="a6b0a586-1ef6-4ab0-a76d-2a440b27d74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4F1BE5F-CB6A-477E-894B-6FE4BF5CF6E3}">
  <ds:schemaRefs>
    <ds:schemaRef ds:uri="http://schemas.microsoft.com/sharepoint/v3/contenttype/forms"/>
  </ds:schemaRefs>
</ds:datastoreItem>
</file>

<file path=customXml/itemProps4.xml><?xml version="1.0" encoding="utf-8"?>
<ds:datastoreItem xmlns:ds="http://schemas.openxmlformats.org/officeDocument/2006/customXml" ds:itemID="{B03DECA5-5AFC-4AA4-9554-0126F734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New College Lanarkshire</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Iain Clark</cp:lastModifiedBy>
  <cp:revision>2</cp:revision>
  <cp:lastPrinted>2023-05-04T07:01:00Z</cp:lastPrinted>
  <dcterms:created xsi:type="dcterms:W3CDTF">2024-08-26T13:07:00Z</dcterms:created>
  <dcterms:modified xsi:type="dcterms:W3CDTF">2024-08-26T13:07:00Z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0x010100D597596B78CC3C4597FAB75898043552</vt:lpwstr>
  </property>
  <property fmtid="{D5CDD505-2E9C-101B-9397-08002B2CF9AE}" pid="3" name="MediaServiceImageTags">
    <vt:lpwstr/>
  </property>
</Properties>
</file>