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52491" w14:textId="096F4532" w:rsidR="001F432B" w:rsidRDefault="00F94980" w:rsidP="00F94980">
      <w:pPr>
        <w:spacing w:after="200" w:line="276" w:lineRule="auto"/>
        <w:ind w:left="0" w:firstLine="0"/>
        <w:jc w:val="right"/>
        <w:rPr>
          <w:rFonts w:asciiTheme="majorHAnsi" w:eastAsiaTheme="majorEastAsia" w:hAnsiTheme="majorHAnsi" w:cstheme="majorBidi"/>
          <w:b/>
          <w:bCs/>
          <w:color w:val="auto"/>
          <w:sz w:val="28"/>
          <w:szCs w:val="28"/>
        </w:rPr>
      </w:pPr>
      <w:bookmarkStart w:id="0" w:name="_Toc352923461"/>
      <w:bookmarkStart w:id="1" w:name="_Toc372792255"/>
      <w:r w:rsidRPr="00253E10">
        <w:rPr>
          <w:noProof/>
        </w:rPr>
        <w:drawing>
          <wp:inline distT="0" distB="0" distL="0" distR="0" wp14:anchorId="0CBE3621" wp14:editId="782F54D8">
            <wp:extent cx="2012023" cy="895350"/>
            <wp:effectExtent l="0" t="0" r="7620" b="0"/>
            <wp:docPr id="5" name="Picture 5"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p w14:paraId="73BF453C" w14:textId="77777777" w:rsidR="00F94980" w:rsidRDefault="00F94980" w:rsidP="001F432B">
      <w:pPr>
        <w:spacing w:after="200" w:line="276" w:lineRule="auto"/>
        <w:ind w:left="0" w:firstLine="0"/>
        <w:jc w:val="center"/>
        <w:rPr>
          <w:rFonts w:asciiTheme="minorHAnsi" w:eastAsiaTheme="majorEastAsia" w:hAnsiTheme="minorHAnsi" w:cstheme="majorBidi"/>
          <w:b/>
          <w:bCs/>
          <w:color w:val="auto"/>
          <w:sz w:val="28"/>
          <w:szCs w:val="28"/>
        </w:rPr>
      </w:pPr>
    </w:p>
    <w:p w14:paraId="69FBB4A0" w14:textId="77777777" w:rsidR="00C45B45" w:rsidRDefault="00F94980" w:rsidP="00C45B45">
      <w:pPr>
        <w:ind w:left="0" w:firstLine="0"/>
        <w:jc w:val="center"/>
        <w:rPr>
          <w:rFonts w:asciiTheme="minorHAnsi" w:eastAsiaTheme="majorEastAsia" w:hAnsiTheme="minorHAnsi" w:cstheme="majorBidi"/>
          <w:b/>
          <w:bCs/>
          <w:color w:val="auto"/>
          <w:sz w:val="28"/>
          <w:szCs w:val="28"/>
        </w:rPr>
      </w:pPr>
      <w:bookmarkStart w:id="2" w:name="_Hlk126932689"/>
      <w:r w:rsidRPr="00F94980">
        <w:rPr>
          <w:rFonts w:asciiTheme="minorHAnsi" w:eastAsiaTheme="majorEastAsia" w:hAnsiTheme="minorHAnsi" w:cstheme="majorBidi"/>
          <w:b/>
          <w:bCs/>
          <w:color w:val="auto"/>
          <w:sz w:val="28"/>
          <w:szCs w:val="28"/>
        </w:rPr>
        <w:t xml:space="preserve">POLCFO 15 </w:t>
      </w:r>
      <w:bookmarkEnd w:id="2"/>
      <w:r w:rsidR="001F432B">
        <w:rPr>
          <w:rFonts w:asciiTheme="minorHAnsi" w:eastAsiaTheme="majorEastAsia" w:hAnsiTheme="minorHAnsi" w:cstheme="majorBidi"/>
          <w:b/>
          <w:bCs/>
          <w:color w:val="auto"/>
          <w:sz w:val="28"/>
          <w:szCs w:val="28"/>
        </w:rPr>
        <w:t>Treasury Management</w:t>
      </w:r>
      <w:r w:rsidR="001F432B" w:rsidRPr="009425F3">
        <w:rPr>
          <w:rFonts w:asciiTheme="minorHAnsi" w:eastAsiaTheme="majorEastAsia" w:hAnsiTheme="minorHAnsi" w:cstheme="majorBidi"/>
          <w:b/>
          <w:bCs/>
          <w:color w:val="auto"/>
          <w:sz w:val="28"/>
          <w:szCs w:val="28"/>
        </w:rPr>
        <w:t xml:space="preserve"> Policy</w:t>
      </w:r>
    </w:p>
    <w:p w14:paraId="2F7A42C7" w14:textId="72094DD4" w:rsidR="00C45B45" w:rsidRDefault="00C45B45" w:rsidP="00C45B45">
      <w:pPr>
        <w:ind w:left="0" w:firstLine="0"/>
        <w:jc w:val="center"/>
        <w:rPr>
          <w:rFonts w:asciiTheme="minorHAnsi" w:eastAsiaTheme="majorEastAsia" w:hAnsiTheme="minorHAnsi" w:cstheme="majorBidi"/>
          <w:b/>
          <w:bCs/>
          <w:color w:val="auto"/>
          <w:sz w:val="28"/>
          <w:szCs w:val="28"/>
        </w:rPr>
      </w:pPr>
      <w:r>
        <w:rPr>
          <w:rFonts w:asciiTheme="minorHAnsi" w:eastAsiaTheme="majorEastAsia" w:hAnsiTheme="minorHAnsi" w:cstheme="majorBidi"/>
          <w:b/>
          <w:bCs/>
          <w:color w:val="auto"/>
          <w:sz w:val="28"/>
          <w:szCs w:val="28"/>
        </w:rPr>
        <w:t>FIN09 Treasury Management</w:t>
      </w:r>
      <w:r w:rsidRPr="009425F3">
        <w:rPr>
          <w:rFonts w:asciiTheme="minorHAnsi" w:eastAsiaTheme="majorEastAsia" w:hAnsiTheme="minorHAnsi" w:cstheme="majorBidi"/>
          <w:b/>
          <w:bCs/>
          <w:color w:val="auto"/>
          <w:sz w:val="28"/>
          <w:szCs w:val="28"/>
        </w:rPr>
        <w:t xml:space="preserve"> Policy</w:t>
      </w:r>
    </w:p>
    <w:p w14:paraId="74D1CB89" w14:textId="77777777" w:rsidR="00C45B45" w:rsidRDefault="00C45B45" w:rsidP="001F432B">
      <w:pPr>
        <w:spacing w:after="200" w:line="276" w:lineRule="auto"/>
        <w:ind w:left="0" w:firstLine="0"/>
        <w:jc w:val="center"/>
        <w:rPr>
          <w:rFonts w:asciiTheme="minorHAnsi" w:eastAsiaTheme="majorEastAsia" w:hAnsiTheme="minorHAnsi" w:cstheme="majorBidi"/>
          <w:b/>
          <w:bCs/>
          <w:color w:val="auto"/>
          <w:sz w:val="28"/>
          <w:szCs w:val="28"/>
        </w:rPr>
      </w:pPr>
    </w:p>
    <w:p w14:paraId="1CAE5ED7" w14:textId="77777777" w:rsidR="001F432B" w:rsidRDefault="001F432B" w:rsidP="00682DEC">
      <w:pPr>
        <w:spacing w:after="200" w:line="276" w:lineRule="auto"/>
        <w:ind w:left="0" w:firstLine="0"/>
        <w:rPr>
          <w:rFonts w:asciiTheme="minorHAnsi" w:eastAsiaTheme="majorEastAsia" w:hAnsiTheme="minorHAnsi" w:cstheme="majorBidi"/>
          <w:b/>
          <w:bCs/>
          <w:color w:val="auto"/>
          <w:sz w:val="28"/>
          <w:szCs w:val="28"/>
        </w:rPr>
      </w:pPr>
    </w:p>
    <w:p w14:paraId="68791D1E" w14:textId="77777777" w:rsidR="001F432B" w:rsidRDefault="001F432B" w:rsidP="001F432B">
      <w:pPr>
        <w:spacing w:after="200" w:line="276" w:lineRule="auto"/>
        <w:ind w:left="0" w:firstLine="0"/>
        <w:jc w:val="center"/>
        <w:rPr>
          <w:rFonts w:asciiTheme="minorHAnsi" w:eastAsiaTheme="majorEastAsia" w:hAnsiTheme="minorHAnsi" w:cstheme="majorBidi"/>
          <w:b/>
          <w:bCs/>
          <w:color w:val="auto"/>
          <w:sz w:val="28"/>
          <w:szCs w:val="28"/>
        </w:rPr>
      </w:pPr>
    </w:p>
    <w:p w14:paraId="1C650F07" w14:textId="12F2B384" w:rsidR="001F432B" w:rsidRPr="00682DEC" w:rsidRDefault="001F432B" w:rsidP="001F432B">
      <w:pPr>
        <w:spacing w:after="200" w:line="276" w:lineRule="auto"/>
        <w:ind w:left="0" w:firstLine="0"/>
        <w:jc w:val="both"/>
        <w:rPr>
          <w:rFonts w:asciiTheme="minorHAnsi" w:eastAsiaTheme="majorEastAsia" w:hAnsiTheme="minorHAnsi" w:cstheme="majorBidi"/>
          <w:bCs/>
          <w:color w:val="auto"/>
          <w:sz w:val="22"/>
        </w:rPr>
      </w:pPr>
      <w:r w:rsidRPr="00DF5473">
        <w:rPr>
          <w:rFonts w:asciiTheme="minorHAnsi" w:eastAsiaTheme="majorEastAsia" w:hAnsiTheme="minorHAnsi" w:cstheme="majorBidi"/>
          <w:bCs/>
          <w:color w:val="auto"/>
          <w:sz w:val="22"/>
        </w:rPr>
        <w:t xml:space="preserve">All College policies and procedures adhere to the guidelines and ethos of Equality and Diversity. </w:t>
      </w:r>
    </w:p>
    <w:p w14:paraId="6BFE3ABC"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p w14:paraId="13202B2C"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p w14:paraId="5424E79D"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r>
        <w:rPr>
          <w:rFonts w:asciiTheme="minorHAnsi" w:eastAsiaTheme="majorEastAsia" w:hAnsiTheme="minorHAnsi" w:cstheme="majorBidi"/>
          <w:bCs/>
          <w:noProof/>
          <w:color w:val="auto"/>
          <w:lang w:val="en-GB" w:eastAsia="en-GB"/>
        </w:rPr>
        <mc:AlternateContent>
          <mc:Choice Requires="wps">
            <w:drawing>
              <wp:anchor distT="0" distB="0" distL="114300" distR="114300" simplePos="0" relativeHeight="251659264" behindDoc="0" locked="0" layoutInCell="1" allowOverlap="1" wp14:anchorId="557129AB" wp14:editId="71586D6B">
                <wp:simplePos x="0" y="0"/>
                <wp:positionH relativeFrom="column">
                  <wp:posOffset>1243965</wp:posOffset>
                </wp:positionH>
                <wp:positionV relativeFrom="paragraph">
                  <wp:posOffset>99060</wp:posOffset>
                </wp:positionV>
                <wp:extent cx="3354705" cy="1217295"/>
                <wp:effectExtent l="11430" t="508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217295"/>
                        </a:xfrm>
                        <a:prstGeom prst="rect">
                          <a:avLst/>
                        </a:prstGeom>
                        <a:solidFill>
                          <a:srgbClr val="FFFFFF"/>
                        </a:solidFill>
                        <a:ln w="9525">
                          <a:solidFill>
                            <a:srgbClr val="000000"/>
                          </a:solidFill>
                          <a:miter lim="800000"/>
                          <a:headEnd/>
                          <a:tailEnd/>
                        </a:ln>
                      </wps:spPr>
                      <wps:txbx>
                        <w:txbxContent>
                          <w:p w14:paraId="2617FF03" w14:textId="77777777" w:rsidR="001F432B" w:rsidRDefault="001F432B" w:rsidP="001F432B">
                            <w:pPr>
                              <w:ind w:left="0" w:firstLine="0"/>
                              <w:jc w:val="center"/>
                              <w:rPr>
                                <w:rFonts w:ascii="Calibri" w:hAnsi="Calibri" w:cs="Calibri"/>
                              </w:rPr>
                            </w:pPr>
                            <w:r>
                              <w:rPr>
                                <w:rFonts w:ascii="Calibri" w:hAnsi="Calibri" w:cs="Calibri"/>
                              </w:rPr>
                              <w:t>When printed this document becomes</w:t>
                            </w:r>
                          </w:p>
                          <w:p w14:paraId="019ED602" w14:textId="77777777" w:rsidR="001F432B" w:rsidRDefault="001F432B" w:rsidP="001F432B">
                            <w:pPr>
                              <w:ind w:left="0" w:firstLine="0"/>
                              <w:jc w:val="center"/>
                              <w:rPr>
                                <w:rFonts w:ascii="Calibri" w:hAnsi="Calibri" w:cs="Calibri"/>
                              </w:rPr>
                            </w:pPr>
                          </w:p>
                          <w:p w14:paraId="4584BBE1" w14:textId="77777777" w:rsidR="001F432B" w:rsidRPr="00202FE0" w:rsidRDefault="001F432B" w:rsidP="001F432B">
                            <w:pPr>
                              <w:ind w:left="0" w:firstLine="0"/>
                              <w:jc w:val="center"/>
                              <w:rPr>
                                <w:rFonts w:ascii="Calibri" w:hAnsi="Calibri" w:cs="Calibri"/>
                                <w:b/>
                              </w:rPr>
                            </w:pPr>
                            <w:r w:rsidRPr="00202FE0">
                              <w:rPr>
                                <w:rFonts w:ascii="Calibri" w:hAnsi="Calibri" w:cs="Calibri"/>
                                <w:b/>
                              </w:rPr>
                              <w:t>UNCONTROLLED COPY</w:t>
                            </w:r>
                          </w:p>
                          <w:p w14:paraId="10288693" w14:textId="77777777" w:rsidR="001F432B" w:rsidRDefault="001F432B" w:rsidP="001F432B">
                            <w:pPr>
                              <w:ind w:left="0" w:firstLine="0"/>
                              <w:jc w:val="center"/>
                              <w:rPr>
                                <w:rFonts w:ascii="Calibri" w:hAnsi="Calibri" w:cs="Calibri"/>
                              </w:rPr>
                            </w:pPr>
                          </w:p>
                          <w:p w14:paraId="7DBF808D" w14:textId="77777777" w:rsidR="001F432B" w:rsidRPr="00202FE0" w:rsidRDefault="001F432B" w:rsidP="001F432B">
                            <w:pPr>
                              <w:ind w:left="0" w:firstLine="0"/>
                              <w:jc w:val="center"/>
                              <w:rPr>
                                <w:rFonts w:ascii="Calibri" w:hAnsi="Calibri" w:cs="Calibri"/>
                              </w:rPr>
                            </w:pPr>
                            <w:r>
                              <w:rPr>
                                <w:rFonts w:ascii="Calibri" w:hAnsi="Calibri" w:cs="Calibri"/>
                              </w:rPr>
                              <w:t>Always refer to the Intranet to ensure you are accessing the current 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7129AB" id="_x0000_t202" coordsize="21600,21600" o:spt="202" path="m,l,21600r21600,l21600,xe">
                <v:stroke joinstyle="miter"/>
                <v:path gradientshapeok="t" o:connecttype="rect"/>
              </v:shapetype>
              <v:shape id="Text Box 2" o:spid="_x0000_s1026" type="#_x0000_t202" style="position:absolute;left:0;text-align:left;margin-left:97.95pt;margin-top:7.8pt;width:264.15pt;height:9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">
                <v:textbox style="mso-fit-shape-to-text:t">
                  <w:txbxContent>
                    <w:p w14:paraId="2617FF03" w14:textId="77777777" w:rsidR="001F432B" w:rsidRDefault="001F432B" w:rsidP="001F432B">
                      <w:pPr>
                        <w:ind w:left="0" w:firstLine="0"/>
                        <w:jc w:val="center"/>
                        <w:rPr>
                          <w:rFonts w:ascii="Calibri" w:hAnsi="Calibri" w:cs="Calibri"/>
                        </w:rPr>
                      </w:pPr>
                      <w:r>
                        <w:rPr>
                          <w:rFonts w:ascii="Calibri" w:hAnsi="Calibri" w:cs="Calibri"/>
                        </w:rPr>
                        <w:t>When printed this document becomes</w:t>
                      </w:r>
                    </w:p>
                    <w:p w14:paraId="019ED602" w14:textId="77777777" w:rsidR="001F432B" w:rsidRDefault="001F432B" w:rsidP="001F432B">
                      <w:pPr>
                        <w:ind w:left="0" w:firstLine="0"/>
                        <w:jc w:val="center"/>
                        <w:rPr>
                          <w:rFonts w:ascii="Calibri" w:hAnsi="Calibri" w:cs="Calibri"/>
                        </w:rPr>
                      </w:pPr>
                    </w:p>
                    <w:p w14:paraId="4584BBE1" w14:textId="77777777" w:rsidR="001F432B" w:rsidRPr="00202FE0" w:rsidRDefault="001F432B" w:rsidP="001F432B">
                      <w:pPr>
                        <w:ind w:left="0" w:firstLine="0"/>
                        <w:jc w:val="center"/>
                        <w:rPr>
                          <w:rFonts w:ascii="Calibri" w:hAnsi="Calibri" w:cs="Calibri"/>
                          <w:b/>
                        </w:rPr>
                      </w:pPr>
                      <w:r w:rsidRPr="00202FE0">
                        <w:rPr>
                          <w:rFonts w:ascii="Calibri" w:hAnsi="Calibri" w:cs="Calibri"/>
                          <w:b/>
                        </w:rPr>
                        <w:t>UNCONTROLLED COPY</w:t>
                      </w:r>
                    </w:p>
                    <w:p w14:paraId="10288693" w14:textId="77777777" w:rsidR="001F432B" w:rsidRDefault="001F432B" w:rsidP="001F432B">
                      <w:pPr>
                        <w:ind w:left="0" w:firstLine="0"/>
                        <w:jc w:val="center"/>
                        <w:rPr>
                          <w:rFonts w:ascii="Calibri" w:hAnsi="Calibri" w:cs="Calibri"/>
                        </w:rPr>
                      </w:pPr>
                    </w:p>
                    <w:p w14:paraId="7DBF808D" w14:textId="77777777" w:rsidR="001F432B" w:rsidRPr="00202FE0" w:rsidRDefault="001F432B" w:rsidP="001F432B">
                      <w:pPr>
                        <w:ind w:left="0" w:firstLine="0"/>
                        <w:jc w:val="center"/>
                        <w:rPr>
                          <w:rFonts w:ascii="Calibri" w:hAnsi="Calibri" w:cs="Calibri"/>
                        </w:rPr>
                      </w:pPr>
                      <w:r>
                        <w:rPr>
                          <w:rFonts w:ascii="Calibri" w:hAnsi="Calibri" w:cs="Calibri"/>
                        </w:rPr>
                        <w:t>Always refer to the Intranet to ensure you are accessing the current version.</w:t>
                      </w:r>
                    </w:p>
                  </w:txbxContent>
                </v:textbox>
              </v:shape>
            </w:pict>
          </mc:Fallback>
        </mc:AlternateContent>
      </w:r>
    </w:p>
    <w:p w14:paraId="26D64775"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p w14:paraId="058009AE"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p w14:paraId="1C001834"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p w14:paraId="72BDBDCD" w14:textId="65C19209" w:rsidR="001F432B" w:rsidRDefault="001F432B" w:rsidP="00682DEC">
      <w:pPr>
        <w:tabs>
          <w:tab w:val="left" w:pos="2010"/>
        </w:tabs>
        <w:spacing w:after="200" w:line="276" w:lineRule="auto"/>
        <w:ind w:left="0" w:firstLine="0"/>
        <w:jc w:val="both"/>
        <w:rPr>
          <w:rFonts w:asciiTheme="minorHAnsi" w:eastAsiaTheme="majorEastAsia" w:hAnsiTheme="minorHAnsi" w:cstheme="majorBidi"/>
          <w:bCs/>
          <w:color w:val="auto"/>
        </w:rPr>
      </w:pPr>
    </w:p>
    <w:p w14:paraId="4E0C3EFB" w14:textId="77777777" w:rsidR="00682DEC" w:rsidRDefault="00682DEC" w:rsidP="00682DEC">
      <w:pPr>
        <w:tabs>
          <w:tab w:val="left" w:pos="2010"/>
        </w:tabs>
        <w:spacing w:after="200" w:line="276" w:lineRule="auto"/>
        <w:ind w:left="0" w:firstLine="0"/>
        <w:jc w:val="both"/>
        <w:rPr>
          <w:rFonts w:asciiTheme="minorHAnsi" w:eastAsiaTheme="majorEastAsia" w:hAnsiTheme="minorHAnsi" w:cstheme="majorBidi"/>
          <w:bCs/>
          <w:color w:val="auto"/>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41"/>
        <w:gridCol w:w="1546"/>
        <w:gridCol w:w="1543"/>
        <w:gridCol w:w="1544"/>
        <w:gridCol w:w="1544"/>
      </w:tblGrid>
      <w:tr w:rsidR="00682DEC" w14:paraId="58056138" w14:textId="77777777" w:rsidTr="00947E42">
        <w:trPr>
          <w:trHeight w:val="453"/>
        </w:trPr>
        <w:tc>
          <w:tcPr>
            <w:tcW w:w="4630" w:type="dxa"/>
            <w:gridSpan w:val="3"/>
            <w:shd w:val="clear" w:color="auto" w:fill="D9D9D9"/>
          </w:tcPr>
          <w:p w14:paraId="6AA7C96B" w14:textId="77777777" w:rsidR="00682DEC" w:rsidRDefault="00682DEC" w:rsidP="00947E42">
            <w:pPr>
              <w:pStyle w:val="TableParagraph"/>
              <w:spacing w:before="90"/>
              <w:rPr>
                <w:b/>
              </w:rPr>
            </w:pPr>
            <w:r>
              <w:rPr>
                <w:b/>
              </w:rPr>
              <w:t>Date</w:t>
            </w:r>
            <w:r>
              <w:rPr>
                <w:b/>
                <w:spacing w:val="-4"/>
              </w:rPr>
              <w:t xml:space="preserve"> </w:t>
            </w:r>
            <w:r>
              <w:rPr>
                <w:b/>
              </w:rPr>
              <w:t>of</w:t>
            </w:r>
            <w:r>
              <w:rPr>
                <w:b/>
                <w:spacing w:val="-2"/>
              </w:rPr>
              <w:t xml:space="preserve"> Origin</w:t>
            </w:r>
          </w:p>
        </w:tc>
        <w:tc>
          <w:tcPr>
            <w:tcW w:w="4631" w:type="dxa"/>
            <w:gridSpan w:val="3"/>
          </w:tcPr>
          <w:p w14:paraId="41E70DB3" w14:textId="0FB109A8" w:rsidR="00682DEC" w:rsidRDefault="00281D26" w:rsidP="00947E42">
            <w:pPr>
              <w:pStyle w:val="TableParagraph"/>
              <w:spacing w:before="90"/>
              <w:ind w:left="12" w:right="3"/>
              <w:jc w:val="center"/>
            </w:pPr>
            <w:r>
              <w:rPr>
                <w:spacing w:val="-2"/>
              </w:rPr>
              <w:t>August 2014</w:t>
            </w:r>
          </w:p>
        </w:tc>
      </w:tr>
      <w:tr w:rsidR="00682DEC" w14:paraId="575C3C5D" w14:textId="77777777" w:rsidTr="00947E42">
        <w:trPr>
          <w:trHeight w:val="453"/>
        </w:trPr>
        <w:tc>
          <w:tcPr>
            <w:tcW w:w="4630" w:type="dxa"/>
            <w:gridSpan w:val="3"/>
            <w:shd w:val="clear" w:color="auto" w:fill="D9D9D9"/>
          </w:tcPr>
          <w:p w14:paraId="616F8F56" w14:textId="77777777" w:rsidR="00682DEC" w:rsidRDefault="00682DEC" w:rsidP="00947E42">
            <w:pPr>
              <w:pStyle w:val="TableParagraph"/>
              <w:spacing w:before="93"/>
              <w:rPr>
                <w:b/>
              </w:rPr>
            </w:pPr>
            <w:r>
              <w:rPr>
                <w:b/>
              </w:rPr>
              <w:t>Last</w:t>
            </w:r>
            <w:r>
              <w:rPr>
                <w:b/>
                <w:spacing w:val="-1"/>
              </w:rPr>
              <w:t xml:space="preserve"> </w:t>
            </w:r>
            <w:r>
              <w:rPr>
                <w:b/>
                <w:spacing w:val="-2"/>
              </w:rPr>
              <w:t>Updated</w:t>
            </w:r>
          </w:p>
        </w:tc>
        <w:tc>
          <w:tcPr>
            <w:tcW w:w="4631" w:type="dxa"/>
            <w:gridSpan w:val="3"/>
          </w:tcPr>
          <w:p w14:paraId="0FDAC8F6" w14:textId="2AE51A10" w:rsidR="00682DEC" w:rsidRDefault="00281D26" w:rsidP="00947E42">
            <w:pPr>
              <w:pStyle w:val="TableParagraph"/>
              <w:spacing w:before="93"/>
              <w:ind w:left="12" w:right="3"/>
              <w:jc w:val="center"/>
            </w:pPr>
            <w:r>
              <w:rPr>
                <w:spacing w:val="-2"/>
              </w:rPr>
              <w:t xml:space="preserve">February </w:t>
            </w:r>
            <w:r w:rsidR="00682DEC">
              <w:rPr>
                <w:spacing w:val="-2"/>
              </w:rPr>
              <w:t>2024</w:t>
            </w:r>
          </w:p>
        </w:tc>
      </w:tr>
      <w:tr w:rsidR="00682DEC" w14:paraId="2C6DD15A" w14:textId="77777777" w:rsidTr="00947E42">
        <w:trPr>
          <w:trHeight w:val="455"/>
        </w:trPr>
        <w:tc>
          <w:tcPr>
            <w:tcW w:w="4630" w:type="dxa"/>
            <w:gridSpan w:val="3"/>
            <w:shd w:val="clear" w:color="auto" w:fill="D9D9D9"/>
          </w:tcPr>
          <w:p w14:paraId="0884A211" w14:textId="77777777" w:rsidR="00682DEC" w:rsidRDefault="00682DEC" w:rsidP="00947E42">
            <w:pPr>
              <w:pStyle w:val="TableParagraph"/>
              <w:spacing w:before="92"/>
              <w:rPr>
                <w:b/>
              </w:rPr>
            </w:pPr>
            <w:r>
              <w:rPr>
                <w:b/>
              </w:rPr>
              <w:t>Proposed</w:t>
            </w:r>
            <w:r>
              <w:rPr>
                <w:b/>
                <w:spacing w:val="-7"/>
              </w:rPr>
              <w:t xml:space="preserve"> </w:t>
            </w:r>
            <w:r>
              <w:rPr>
                <w:b/>
              </w:rPr>
              <w:t>Review</w:t>
            </w:r>
            <w:r>
              <w:rPr>
                <w:b/>
                <w:spacing w:val="-6"/>
              </w:rPr>
              <w:t xml:space="preserve"> </w:t>
            </w:r>
            <w:r>
              <w:rPr>
                <w:b/>
                <w:spacing w:val="-4"/>
              </w:rPr>
              <w:t>Date</w:t>
            </w:r>
          </w:p>
        </w:tc>
        <w:tc>
          <w:tcPr>
            <w:tcW w:w="4631" w:type="dxa"/>
            <w:gridSpan w:val="3"/>
          </w:tcPr>
          <w:p w14:paraId="634A1754" w14:textId="7CB5DE36" w:rsidR="00682DEC" w:rsidRDefault="00281D26" w:rsidP="00947E42">
            <w:pPr>
              <w:pStyle w:val="TableParagraph"/>
              <w:spacing w:before="92"/>
              <w:ind w:left="12" w:right="3"/>
              <w:jc w:val="center"/>
            </w:pPr>
            <w:r>
              <w:rPr>
                <w:spacing w:val="-2"/>
              </w:rPr>
              <w:t>February 2025</w:t>
            </w:r>
          </w:p>
        </w:tc>
      </w:tr>
      <w:tr w:rsidR="00682DEC" w14:paraId="630B5C99" w14:textId="77777777" w:rsidTr="00947E42">
        <w:trPr>
          <w:trHeight w:val="453"/>
        </w:trPr>
        <w:tc>
          <w:tcPr>
            <w:tcW w:w="4630" w:type="dxa"/>
            <w:gridSpan w:val="3"/>
            <w:shd w:val="clear" w:color="auto" w:fill="D9D9D9"/>
          </w:tcPr>
          <w:p w14:paraId="0C052963" w14:textId="77777777" w:rsidR="00682DEC" w:rsidRDefault="00682DEC" w:rsidP="00947E42">
            <w:pPr>
              <w:pStyle w:val="TableParagraph"/>
              <w:spacing w:before="90"/>
              <w:rPr>
                <w:b/>
              </w:rPr>
            </w:pPr>
            <w:r>
              <w:rPr>
                <w:b/>
              </w:rPr>
              <w:t>EQIA</w:t>
            </w:r>
            <w:r>
              <w:rPr>
                <w:b/>
                <w:spacing w:val="-2"/>
              </w:rPr>
              <w:t xml:space="preserve"> </w:t>
            </w:r>
            <w:r>
              <w:rPr>
                <w:b/>
                <w:spacing w:val="-4"/>
              </w:rPr>
              <w:t>Date</w:t>
            </w:r>
          </w:p>
        </w:tc>
        <w:tc>
          <w:tcPr>
            <w:tcW w:w="4631" w:type="dxa"/>
            <w:gridSpan w:val="3"/>
          </w:tcPr>
          <w:p w14:paraId="3D117D94" w14:textId="4EAB23FB" w:rsidR="00281D26" w:rsidRDefault="00281D26" w:rsidP="00281D26">
            <w:pPr>
              <w:pStyle w:val="TableParagraph"/>
              <w:spacing w:before="90"/>
              <w:jc w:val="center"/>
            </w:pPr>
            <w:r>
              <w:t>28/02/2024</w:t>
            </w:r>
          </w:p>
        </w:tc>
      </w:tr>
      <w:tr w:rsidR="00682DEC" w14:paraId="5888E07D" w14:textId="77777777" w:rsidTr="00947E42">
        <w:trPr>
          <w:trHeight w:val="453"/>
        </w:trPr>
        <w:tc>
          <w:tcPr>
            <w:tcW w:w="4630" w:type="dxa"/>
            <w:gridSpan w:val="3"/>
            <w:shd w:val="clear" w:color="auto" w:fill="D9D9D9"/>
          </w:tcPr>
          <w:p w14:paraId="45EC3E83" w14:textId="77777777" w:rsidR="00682DEC" w:rsidRDefault="00682DEC" w:rsidP="00947E42">
            <w:pPr>
              <w:pStyle w:val="TableParagraph"/>
              <w:spacing w:before="92"/>
              <w:rPr>
                <w:b/>
              </w:rPr>
            </w:pPr>
            <w:r>
              <w:rPr>
                <w:b/>
              </w:rPr>
              <w:t>DPIA</w:t>
            </w:r>
            <w:r>
              <w:rPr>
                <w:b/>
                <w:spacing w:val="-1"/>
              </w:rPr>
              <w:t xml:space="preserve"> </w:t>
            </w:r>
            <w:r>
              <w:rPr>
                <w:b/>
                <w:spacing w:val="-4"/>
              </w:rPr>
              <w:t>Date</w:t>
            </w:r>
          </w:p>
        </w:tc>
        <w:tc>
          <w:tcPr>
            <w:tcW w:w="4631" w:type="dxa"/>
            <w:gridSpan w:val="3"/>
          </w:tcPr>
          <w:p w14:paraId="1326F4C5" w14:textId="4BBB0776" w:rsidR="00682DEC" w:rsidRDefault="00682DEC" w:rsidP="00281D26">
            <w:pPr>
              <w:pStyle w:val="TableParagraph"/>
              <w:spacing w:before="92"/>
              <w:ind w:left="1097"/>
              <w:jc w:val="center"/>
            </w:pPr>
          </w:p>
        </w:tc>
      </w:tr>
      <w:tr w:rsidR="00682DEC" w14:paraId="49518E24" w14:textId="77777777" w:rsidTr="00947E42">
        <w:trPr>
          <w:trHeight w:val="657"/>
        </w:trPr>
        <w:tc>
          <w:tcPr>
            <w:tcW w:w="4630" w:type="dxa"/>
            <w:gridSpan w:val="3"/>
            <w:shd w:val="clear" w:color="auto" w:fill="D9D9D9"/>
          </w:tcPr>
          <w:p w14:paraId="1618FAB9" w14:textId="77777777" w:rsidR="00682DEC" w:rsidRDefault="00682DEC" w:rsidP="00947E42">
            <w:pPr>
              <w:pStyle w:val="TableParagraph"/>
              <w:spacing w:before="193"/>
              <w:rPr>
                <w:b/>
              </w:rPr>
            </w:pPr>
            <w:r>
              <w:rPr>
                <w:b/>
              </w:rPr>
              <w:t>Responsibility</w:t>
            </w:r>
            <w:r>
              <w:rPr>
                <w:b/>
                <w:spacing w:val="-6"/>
              </w:rPr>
              <w:t xml:space="preserve"> </w:t>
            </w:r>
            <w:r>
              <w:rPr>
                <w:b/>
              </w:rPr>
              <w:t>or</w:t>
            </w:r>
            <w:r>
              <w:rPr>
                <w:b/>
                <w:spacing w:val="-6"/>
              </w:rPr>
              <w:t xml:space="preserve"> </w:t>
            </w:r>
            <w:r>
              <w:rPr>
                <w:b/>
                <w:spacing w:val="-2"/>
              </w:rPr>
              <w:t>Review</w:t>
            </w:r>
          </w:p>
        </w:tc>
        <w:tc>
          <w:tcPr>
            <w:tcW w:w="4631" w:type="dxa"/>
            <w:gridSpan w:val="3"/>
          </w:tcPr>
          <w:p w14:paraId="5757407B" w14:textId="0CEA5B18" w:rsidR="00682DEC" w:rsidRDefault="00281D26" w:rsidP="00947E42">
            <w:pPr>
              <w:pStyle w:val="TableParagraph"/>
              <w:spacing w:before="59"/>
              <w:ind w:left="1697" w:hanging="1030"/>
            </w:pPr>
            <w:r>
              <w:t>Chief Resources Officer (CRO)</w:t>
            </w:r>
          </w:p>
        </w:tc>
      </w:tr>
      <w:tr w:rsidR="00682DEC" w14:paraId="3D3B156D" w14:textId="77777777" w:rsidTr="00947E42">
        <w:trPr>
          <w:trHeight w:val="455"/>
        </w:trPr>
        <w:tc>
          <w:tcPr>
            <w:tcW w:w="4630" w:type="dxa"/>
            <w:gridSpan w:val="3"/>
            <w:shd w:val="clear" w:color="auto" w:fill="D9D9D9"/>
          </w:tcPr>
          <w:p w14:paraId="58C6E4A7" w14:textId="77777777" w:rsidR="00682DEC" w:rsidRDefault="00682DEC" w:rsidP="00947E42">
            <w:pPr>
              <w:pStyle w:val="TableParagraph"/>
              <w:spacing w:before="92"/>
              <w:rPr>
                <w:b/>
              </w:rPr>
            </w:pPr>
            <w:r>
              <w:rPr>
                <w:b/>
              </w:rPr>
              <w:t>Executive</w:t>
            </w:r>
            <w:r>
              <w:rPr>
                <w:b/>
                <w:spacing w:val="-8"/>
              </w:rPr>
              <w:t xml:space="preserve"> </w:t>
            </w:r>
            <w:r>
              <w:rPr>
                <w:b/>
              </w:rPr>
              <w:t>Board</w:t>
            </w:r>
            <w:r>
              <w:rPr>
                <w:b/>
                <w:spacing w:val="-6"/>
              </w:rPr>
              <w:t xml:space="preserve"> </w:t>
            </w:r>
            <w:r>
              <w:rPr>
                <w:b/>
              </w:rPr>
              <w:t>or</w:t>
            </w:r>
            <w:r>
              <w:rPr>
                <w:b/>
                <w:spacing w:val="-5"/>
              </w:rPr>
              <w:t xml:space="preserve"> </w:t>
            </w:r>
            <w:r>
              <w:rPr>
                <w:b/>
              </w:rPr>
              <w:t>Committee</w:t>
            </w:r>
            <w:r>
              <w:rPr>
                <w:b/>
                <w:spacing w:val="-5"/>
              </w:rPr>
              <w:t xml:space="preserve"> </w:t>
            </w:r>
            <w:r>
              <w:rPr>
                <w:b/>
                <w:spacing w:val="-2"/>
              </w:rPr>
              <w:t>Approval</w:t>
            </w:r>
          </w:p>
        </w:tc>
        <w:tc>
          <w:tcPr>
            <w:tcW w:w="4631" w:type="dxa"/>
            <w:gridSpan w:val="3"/>
          </w:tcPr>
          <w:p w14:paraId="613EB1E2" w14:textId="77777777" w:rsidR="00682DEC" w:rsidRDefault="00682DEC" w:rsidP="00947E42">
            <w:pPr>
              <w:pStyle w:val="TableParagraph"/>
              <w:spacing w:before="92"/>
              <w:ind w:left="12"/>
              <w:jc w:val="center"/>
            </w:pPr>
            <w:r>
              <w:t>Executive</w:t>
            </w:r>
            <w:r>
              <w:rPr>
                <w:spacing w:val="-5"/>
              </w:rPr>
              <w:t xml:space="preserve"> </w:t>
            </w:r>
            <w:r>
              <w:rPr>
                <w:spacing w:val="-2"/>
              </w:rPr>
              <w:t>Board</w:t>
            </w:r>
          </w:p>
        </w:tc>
      </w:tr>
      <w:tr w:rsidR="00682DEC" w14:paraId="29468F43" w14:textId="77777777" w:rsidTr="005F0A53">
        <w:trPr>
          <w:trHeight w:val="70"/>
        </w:trPr>
        <w:tc>
          <w:tcPr>
            <w:tcW w:w="1543" w:type="dxa"/>
            <w:shd w:val="clear" w:color="auto" w:fill="D9D9D9"/>
          </w:tcPr>
          <w:p w14:paraId="1EB1C6C6" w14:textId="77777777" w:rsidR="00682DEC" w:rsidRDefault="00682DEC" w:rsidP="00947E42">
            <w:pPr>
              <w:pStyle w:val="TableParagraph"/>
              <w:spacing w:before="90"/>
              <w:ind w:left="8"/>
              <w:jc w:val="center"/>
            </w:pPr>
            <w:r>
              <w:rPr>
                <w:spacing w:val="-4"/>
              </w:rPr>
              <w:t>Clan</w:t>
            </w:r>
          </w:p>
        </w:tc>
        <w:tc>
          <w:tcPr>
            <w:tcW w:w="1541" w:type="dxa"/>
          </w:tcPr>
          <w:p w14:paraId="25235B0B" w14:textId="77777777" w:rsidR="00682DEC" w:rsidRDefault="00682DEC" w:rsidP="00947E42">
            <w:pPr>
              <w:pStyle w:val="TableParagraph"/>
              <w:spacing w:before="90"/>
              <w:ind w:left="10"/>
              <w:jc w:val="center"/>
            </w:pPr>
            <w:r>
              <w:rPr>
                <w:spacing w:val="-10"/>
              </w:rPr>
              <w:t>√</w:t>
            </w:r>
          </w:p>
        </w:tc>
        <w:tc>
          <w:tcPr>
            <w:tcW w:w="1546" w:type="dxa"/>
            <w:shd w:val="clear" w:color="auto" w:fill="D9D9D9"/>
          </w:tcPr>
          <w:p w14:paraId="586888EA" w14:textId="77777777" w:rsidR="00682DEC" w:rsidRDefault="00682DEC" w:rsidP="00947E42">
            <w:pPr>
              <w:pStyle w:val="TableParagraph"/>
              <w:spacing w:before="90"/>
              <w:ind w:left="317"/>
            </w:pPr>
            <w:proofErr w:type="spellStart"/>
            <w:r>
              <w:rPr>
                <w:spacing w:val="-2"/>
              </w:rPr>
              <w:t>MyNCLAN</w:t>
            </w:r>
            <w:proofErr w:type="spellEnd"/>
          </w:p>
        </w:tc>
        <w:tc>
          <w:tcPr>
            <w:tcW w:w="1543" w:type="dxa"/>
          </w:tcPr>
          <w:p w14:paraId="3D5963A2" w14:textId="77777777" w:rsidR="00682DEC" w:rsidRDefault="00682DEC" w:rsidP="00947E42">
            <w:pPr>
              <w:pStyle w:val="TableParagraph"/>
              <w:ind w:left="0"/>
              <w:rPr>
                <w:rFonts w:ascii="Times New Roman"/>
              </w:rPr>
            </w:pPr>
          </w:p>
        </w:tc>
        <w:tc>
          <w:tcPr>
            <w:tcW w:w="1544" w:type="dxa"/>
            <w:shd w:val="clear" w:color="auto" w:fill="D9D9D9"/>
          </w:tcPr>
          <w:p w14:paraId="29500389" w14:textId="77777777" w:rsidR="00682DEC" w:rsidRDefault="00682DEC" w:rsidP="00947E42">
            <w:pPr>
              <w:pStyle w:val="TableParagraph"/>
              <w:spacing w:before="90"/>
              <w:ind w:left="401"/>
            </w:pPr>
            <w:r>
              <w:rPr>
                <w:spacing w:val="-2"/>
              </w:rPr>
              <w:t>Website</w:t>
            </w:r>
          </w:p>
        </w:tc>
        <w:tc>
          <w:tcPr>
            <w:tcW w:w="1544" w:type="dxa"/>
          </w:tcPr>
          <w:p w14:paraId="7DA475C2" w14:textId="77777777" w:rsidR="00682DEC" w:rsidRDefault="00682DEC" w:rsidP="00947E42">
            <w:pPr>
              <w:pStyle w:val="TableParagraph"/>
              <w:ind w:left="0"/>
              <w:rPr>
                <w:rFonts w:ascii="Times New Roman"/>
              </w:rPr>
            </w:pPr>
          </w:p>
        </w:tc>
      </w:tr>
    </w:tbl>
    <w:p w14:paraId="0E628068" w14:textId="77777777" w:rsidR="008F327C" w:rsidRDefault="008F327C">
      <w:pPr>
        <w:spacing w:after="160" w:line="259"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br w:type="page"/>
      </w:r>
    </w:p>
    <w:p w14:paraId="21FE2816" w14:textId="77777777" w:rsidR="001F432B" w:rsidRDefault="001F432B" w:rsidP="001F432B">
      <w:pPr>
        <w:spacing w:after="200" w:line="276" w:lineRule="auto"/>
        <w:ind w:left="0" w:firstLine="0"/>
        <w:jc w:val="both"/>
        <w:rPr>
          <w:rFonts w:asciiTheme="minorHAnsi" w:eastAsiaTheme="majorEastAsia" w:hAnsiTheme="minorHAnsi" w:cstheme="majorBidi"/>
          <w:bCs/>
          <w:color w:val="auto"/>
        </w:rPr>
      </w:pPr>
    </w:p>
    <w:sdt>
      <w:sdtPr>
        <w:rPr>
          <w:rFonts w:ascii="Arial" w:eastAsia="Times New Roman" w:hAnsi="Arial" w:cs="Arial"/>
          <w:b w:val="0"/>
          <w:bCs w:val="0"/>
          <w:color w:val="auto"/>
          <w:sz w:val="24"/>
          <w:szCs w:val="24"/>
        </w:rPr>
        <w:id w:val="20855702"/>
        <w:docPartObj>
          <w:docPartGallery w:val="Table of Contents"/>
          <w:docPartUnique/>
        </w:docPartObj>
      </w:sdtPr>
      <w:sdtEndPr/>
      <w:sdtContent>
        <w:p w14:paraId="396A2026" w14:textId="73E4C402" w:rsidR="001F432B" w:rsidRPr="005F0A53" w:rsidRDefault="00C914BD" w:rsidP="001F432B">
          <w:pPr>
            <w:pStyle w:val="TOCHeading"/>
            <w:jc w:val="both"/>
            <w:rPr>
              <w:rFonts w:asciiTheme="minorHAnsi" w:eastAsia="Times New Roman" w:hAnsiTheme="minorHAnsi" w:cstheme="minorHAnsi"/>
              <w:bCs w:val="0"/>
              <w:color w:val="auto"/>
            </w:rPr>
          </w:pPr>
          <w:r w:rsidRPr="005F0A53">
            <w:rPr>
              <w:rFonts w:asciiTheme="minorHAnsi" w:eastAsia="Times New Roman" w:hAnsiTheme="minorHAnsi" w:cstheme="minorHAnsi"/>
              <w:bCs w:val="0"/>
              <w:color w:val="auto"/>
            </w:rPr>
            <w:t>Co</w:t>
          </w:r>
          <w:r w:rsidR="00281D26" w:rsidRPr="005F0A53">
            <w:rPr>
              <w:rFonts w:asciiTheme="minorHAnsi" w:eastAsia="Times New Roman" w:hAnsiTheme="minorHAnsi" w:cstheme="minorHAnsi"/>
              <w:bCs w:val="0"/>
              <w:color w:val="auto"/>
            </w:rPr>
            <w:t>ntents</w:t>
          </w:r>
        </w:p>
        <w:p w14:paraId="2A4083B4" w14:textId="77777777" w:rsidR="008F327C" w:rsidRPr="005F0A53" w:rsidRDefault="008F327C" w:rsidP="008F327C">
          <w:pPr>
            <w:rPr>
              <w:rFonts w:asciiTheme="minorHAnsi" w:hAnsiTheme="minorHAnsi" w:cstheme="minorHAnsi"/>
            </w:rPr>
          </w:pPr>
        </w:p>
        <w:p w14:paraId="6C16F25C" w14:textId="58583FBA" w:rsidR="005F0A53" w:rsidRPr="005F0A53" w:rsidRDefault="001F432B" w:rsidP="005F0A53">
          <w:pPr>
            <w:pStyle w:val="TOC1"/>
            <w:tabs>
              <w:tab w:val="clear" w:pos="1560"/>
              <w:tab w:val="left" w:pos="1134"/>
            </w:tabs>
            <w:rPr>
              <w:rStyle w:val="Hyperlink"/>
              <w:rFonts w:asciiTheme="minorHAnsi" w:hAnsiTheme="minorHAnsi" w:cstheme="minorHAnsi"/>
              <w:noProof/>
              <w:color w:val="auto"/>
            </w:rPr>
          </w:pPr>
          <w:r w:rsidRPr="005F0A53">
            <w:rPr>
              <w:rFonts w:asciiTheme="minorHAnsi" w:hAnsiTheme="minorHAnsi" w:cstheme="minorHAnsi"/>
            </w:rPr>
            <w:fldChar w:fldCharType="begin"/>
          </w:r>
          <w:r w:rsidRPr="005F0A53">
            <w:rPr>
              <w:rFonts w:asciiTheme="minorHAnsi" w:hAnsiTheme="minorHAnsi" w:cstheme="minorHAnsi"/>
            </w:rPr>
            <w:instrText xml:space="preserve"> TOC \o "1-3" \h \z \u </w:instrText>
          </w:r>
          <w:r w:rsidRPr="005F0A53">
            <w:rPr>
              <w:rFonts w:asciiTheme="minorHAnsi" w:hAnsiTheme="minorHAnsi" w:cstheme="minorHAnsi"/>
            </w:rPr>
            <w:fldChar w:fldCharType="separate"/>
          </w:r>
          <w:hyperlink w:anchor="_Toc190338217" w:history="1">
            <w:r w:rsidR="005F0A53" w:rsidRPr="005F0A53">
              <w:rPr>
                <w:rStyle w:val="Hyperlink"/>
                <w:rFonts w:asciiTheme="minorHAnsi" w:hAnsiTheme="minorHAnsi" w:cstheme="minorHAnsi"/>
                <w:noProof/>
                <w:color w:val="auto"/>
              </w:rPr>
              <w:t>1</w:t>
            </w:r>
            <w:r w:rsidR="005F0A53" w:rsidRPr="005F0A53">
              <w:rPr>
                <w:rStyle w:val="Hyperlink"/>
                <w:rFonts w:asciiTheme="minorHAnsi" w:hAnsiTheme="minorHAnsi" w:cstheme="minorHAnsi"/>
                <w:noProof/>
                <w:color w:val="auto"/>
              </w:rPr>
              <w:tab/>
              <w:t>Policy</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_Toc190338217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12FEF9E2" w14:textId="77777777" w:rsidR="005F0A53" w:rsidRPr="005F0A53" w:rsidRDefault="005F0A53" w:rsidP="005F0A53">
          <w:pPr>
            <w:tabs>
              <w:tab w:val="left" w:pos="1134"/>
            </w:tabs>
            <w:ind w:firstLine="0"/>
            <w:rPr>
              <w:rFonts w:asciiTheme="minorHAnsi" w:eastAsiaTheme="minorEastAsia" w:hAnsiTheme="minorHAnsi" w:cstheme="minorHAnsi"/>
            </w:rPr>
          </w:pPr>
        </w:p>
        <w:p w14:paraId="475C989D" w14:textId="5E165AC7"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18" w:history="1">
            <w:r w:rsidR="005F0A53" w:rsidRPr="005F0A53">
              <w:rPr>
                <w:rStyle w:val="Hyperlink"/>
                <w:rFonts w:asciiTheme="minorHAnsi" w:hAnsiTheme="minorHAnsi" w:cstheme="minorHAnsi"/>
                <w:noProof/>
                <w:color w:val="auto"/>
              </w:rPr>
              <w:t>2</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Purpose</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_Toc190338218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1BF79EFC" w14:textId="77777777" w:rsidR="005F0A53" w:rsidRPr="005F0A53" w:rsidRDefault="005F0A53" w:rsidP="005F0A53">
          <w:pPr>
            <w:tabs>
              <w:tab w:val="left" w:pos="1134"/>
            </w:tabs>
            <w:ind w:firstLine="0"/>
            <w:rPr>
              <w:rFonts w:asciiTheme="minorHAnsi" w:eastAsiaTheme="minorEastAsia" w:hAnsiTheme="minorHAnsi" w:cstheme="minorHAnsi"/>
            </w:rPr>
          </w:pPr>
        </w:p>
        <w:p w14:paraId="46579188" w14:textId="59B95ABD"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19" w:history="1">
            <w:r w:rsidR="005F0A53" w:rsidRPr="005F0A53">
              <w:rPr>
                <w:rStyle w:val="Hyperlink"/>
                <w:rFonts w:asciiTheme="minorHAnsi" w:hAnsiTheme="minorHAnsi" w:cstheme="minorHAnsi"/>
                <w:noProof/>
                <w:color w:val="auto"/>
              </w:rPr>
              <w:t>3</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Aims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_Toc190338219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208E4752" w14:textId="77777777" w:rsidR="005F0A53" w:rsidRPr="005F0A53" w:rsidRDefault="005F0A53" w:rsidP="005F0A53">
          <w:pPr>
            <w:tabs>
              <w:tab w:val="left" w:pos="1134"/>
            </w:tabs>
            <w:ind w:firstLine="0"/>
            <w:rPr>
              <w:rFonts w:asciiTheme="minorHAnsi" w:eastAsiaTheme="minorEastAsia" w:hAnsiTheme="minorHAnsi" w:cstheme="minorHAnsi"/>
            </w:rPr>
          </w:pPr>
        </w:p>
        <w:p w14:paraId="2876E7B9" w14:textId="09C9B5CF"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0" w:history="1">
            <w:r w:rsidR="005F0A53" w:rsidRPr="005F0A53">
              <w:rPr>
                <w:rStyle w:val="Hyperlink"/>
                <w:rFonts w:asciiTheme="minorHAnsi" w:hAnsiTheme="minorHAnsi" w:cstheme="minorHAnsi"/>
                <w:noProof/>
                <w:color w:val="auto"/>
              </w:rPr>
              <w:t>4</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Scope</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_Toc190338220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3DEA9294" w14:textId="77777777" w:rsidR="005F0A53" w:rsidRPr="005F0A53" w:rsidRDefault="005F0A53" w:rsidP="005F0A53">
          <w:pPr>
            <w:tabs>
              <w:tab w:val="left" w:pos="1134"/>
            </w:tabs>
            <w:ind w:firstLine="0"/>
            <w:rPr>
              <w:rFonts w:asciiTheme="minorHAnsi" w:eastAsiaTheme="minorEastAsia" w:hAnsiTheme="minorHAnsi" w:cstheme="minorHAnsi"/>
            </w:rPr>
          </w:pPr>
        </w:p>
        <w:p w14:paraId="74A46B76" w14:textId="1B44BFF0"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1" w:history="1">
            <w:r w:rsidR="005F0A53" w:rsidRPr="005F0A53">
              <w:rPr>
                <w:rStyle w:val="Hyperlink"/>
                <w:rFonts w:asciiTheme="minorHAnsi" w:hAnsiTheme="minorHAnsi" w:cstheme="minorHAnsi"/>
                <w:noProof/>
                <w:color w:val="auto"/>
              </w:rPr>
              <w:t>5</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Borrowing and Capital Finance</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_Toc190338221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6425EA3C" w14:textId="77777777" w:rsidR="005F0A53" w:rsidRPr="005F0A53" w:rsidRDefault="005F0A53" w:rsidP="005F0A53">
          <w:pPr>
            <w:tabs>
              <w:tab w:val="left" w:pos="1134"/>
            </w:tabs>
            <w:ind w:firstLine="0"/>
            <w:rPr>
              <w:rFonts w:asciiTheme="minorHAnsi" w:eastAsiaTheme="minorEastAsia" w:hAnsiTheme="minorHAnsi" w:cstheme="minorHAnsi"/>
            </w:rPr>
          </w:pPr>
        </w:p>
        <w:p w14:paraId="62BB841A" w14:textId="61C7B083"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2" w:history="1">
            <w:r w:rsidR="005F0A53" w:rsidRPr="005F0A53">
              <w:rPr>
                <w:rStyle w:val="Hyperlink"/>
                <w:rFonts w:asciiTheme="minorHAnsi" w:hAnsiTheme="minorHAnsi" w:cstheme="minorHAnsi"/>
                <w:noProof/>
                <w:color w:val="auto"/>
              </w:rPr>
              <w:t>6</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College Bank Accounts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_Toc190338222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69C962BE" w14:textId="77777777" w:rsidR="005F0A53" w:rsidRPr="005F0A53" w:rsidRDefault="005F0A53" w:rsidP="005F0A53">
          <w:pPr>
            <w:tabs>
              <w:tab w:val="left" w:pos="1134"/>
            </w:tabs>
            <w:ind w:firstLine="0"/>
            <w:rPr>
              <w:rFonts w:asciiTheme="minorHAnsi" w:eastAsiaTheme="minorEastAsia" w:hAnsiTheme="minorHAnsi" w:cstheme="minorHAnsi"/>
            </w:rPr>
          </w:pPr>
        </w:p>
        <w:p w14:paraId="4EC7CB8F" w14:textId="4D748F25"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3" w:history="1">
            <w:r w:rsidR="005F0A53" w:rsidRPr="005F0A53">
              <w:rPr>
                <w:rStyle w:val="Hyperlink"/>
                <w:rFonts w:asciiTheme="minorHAnsi" w:hAnsiTheme="minorHAnsi" w:cstheme="minorHAnsi"/>
                <w:noProof/>
                <w:color w:val="auto"/>
              </w:rPr>
              <w:t>7</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Appointed bankers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_Toc190338223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69996D72" w14:textId="77777777" w:rsidR="005F0A53" w:rsidRPr="005F0A53" w:rsidRDefault="005F0A53" w:rsidP="005F0A53">
          <w:pPr>
            <w:tabs>
              <w:tab w:val="left" w:pos="1134"/>
            </w:tabs>
            <w:ind w:firstLine="0"/>
            <w:rPr>
              <w:rFonts w:asciiTheme="minorHAnsi" w:eastAsiaTheme="minorEastAsia" w:hAnsiTheme="minorHAnsi" w:cstheme="minorHAnsi"/>
            </w:rPr>
          </w:pPr>
        </w:p>
        <w:p w14:paraId="61D91F4A" w14:textId="3DB5B2FB"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4" w:history="1">
            <w:r w:rsidR="005F0A53" w:rsidRPr="005F0A53">
              <w:rPr>
                <w:rStyle w:val="Hyperlink"/>
                <w:rFonts w:asciiTheme="minorHAnsi" w:hAnsiTheme="minorHAnsi" w:cstheme="minorHAnsi"/>
                <w:noProof/>
                <w:color w:val="auto"/>
              </w:rPr>
              <w:t>8</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Investing and Depositing of Excess Funds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_Toc190338224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6AA1BD4A" w14:textId="77777777" w:rsidR="005F0A53" w:rsidRPr="005F0A53" w:rsidRDefault="005F0A53" w:rsidP="005F0A53">
          <w:pPr>
            <w:tabs>
              <w:tab w:val="left" w:pos="1134"/>
            </w:tabs>
            <w:ind w:firstLine="0"/>
            <w:rPr>
              <w:rFonts w:asciiTheme="minorHAnsi" w:eastAsiaTheme="minorEastAsia" w:hAnsiTheme="minorHAnsi" w:cstheme="minorHAnsi"/>
            </w:rPr>
          </w:pPr>
        </w:p>
        <w:p w14:paraId="61923AC3" w14:textId="5E6AC882"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5" w:history="1">
            <w:r w:rsidR="005F0A53" w:rsidRPr="005F0A53">
              <w:rPr>
                <w:rStyle w:val="Hyperlink"/>
                <w:rFonts w:asciiTheme="minorHAnsi" w:hAnsiTheme="minorHAnsi" w:cstheme="minorHAnsi"/>
                <w:noProof/>
                <w:color w:val="auto"/>
              </w:rPr>
              <w:t>9</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Systems and Procedures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_Toc190338225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2748A5A1" w14:textId="77777777" w:rsidR="005F0A53" w:rsidRPr="005F0A53" w:rsidRDefault="005F0A53" w:rsidP="005F0A53">
          <w:pPr>
            <w:tabs>
              <w:tab w:val="left" w:pos="1134"/>
            </w:tabs>
            <w:ind w:firstLine="0"/>
            <w:rPr>
              <w:rFonts w:asciiTheme="minorHAnsi" w:eastAsiaTheme="minorEastAsia" w:hAnsiTheme="minorHAnsi" w:cstheme="minorHAnsi"/>
            </w:rPr>
          </w:pPr>
        </w:p>
        <w:p w14:paraId="41E545B9" w14:textId="73C2B1A3"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6" w:history="1">
            <w:r w:rsidR="005F0A53" w:rsidRPr="005F0A53">
              <w:rPr>
                <w:rStyle w:val="Hyperlink"/>
                <w:rFonts w:asciiTheme="minorHAnsi" w:hAnsiTheme="minorHAnsi" w:cstheme="minorHAnsi"/>
                <w:noProof/>
                <w:color w:val="auto"/>
              </w:rPr>
              <w:t>10</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Intercompany transfers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_Toc190338226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04CA5D61" w14:textId="77777777" w:rsidR="005F0A53" w:rsidRPr="005F0A53" w:rsidRDefault="005F0A53" w:rsidP="005F0A53">
          <w:pPr>
            <w:tabs>
              <w:tab w:val="left" w:pos="1134"/>
            </w:tabs>
            <w:ind w:firstLine="0"/>
            <w:rPr>
              <w:rFonts w:asciiTheme="minorHAnsi" w:eastAsiaTheme="minorEastAsia" w:hAnsiTheme="minorHAnsi" w:cstheme="minorHAnsi"/>
            </w:rPr>
          </w:pPr>
        </w:p>
        <w:p w14:paraId="13B09FDA" w14:textId="31CFD643"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7" w:history="1">
            <w:r w:rsidR="005F0A53" w:rsidRPr="005F0A53">
              <w:rPr>
                <w:rStyle w:val="Hyperlink"/>
                <w:rFonts w:asciiTheme="minorHAnsi" w:hAnsiTheme="minorHAnsi" w:cstheme="minorHAnsi"/>
                <w:noProof/>
                <w:color w:val="auto"/>
              </w:rPr>
              <w:t>11</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Linked Policies/Related Documents</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_Toc190338227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0B7E2F49" w14:textId="77777777" w:rsidR="005F0A53" w:rsidRPr="005F0A53" w:rsidRDefault="005F0A53" w:rsidP="005F0A53">
          <w:pPr>
            <w:tabs>
              <w:tab w:val="left" w:pos="1134"/>
            </w:tabs>
            <w:ind w:firstLine="0"/>
            <w:rPr>
              <w:rFonts w:asciiTheme="minorHAnsi" w:eastAsiaTheme="minorEastAsia" w:hAnsiTheme="minorHAnsi" w:cstheme="minorHAnsi"/>
            </w:rPr>
          </w:pPr>
        </w:p>
        <w:p w14:paraId="79F13945" w14:textId="0E08004B" w:rsidR="005F0A53" w:rsidRPr="005F0A53" w:rsidRDefault="004B7667" w:rsidP="005F0A53">
          <w:pPr>
            <w:pStyle w:val="TOC1"/>
            <w:tabs>
              <w:tab w:val="clear" w:pos="1560"/>
              <w:tab w:val="left" w:pos="1134"/>
            </w:tabs>
            <w:rPr>
              <w:rStyle w:val="Hyperlink"/>
              <w:rFonts w:asciiTheme="minorHAnsi" w:hAnsiTheme="minorHAnsi" w:cstheme="minorHAnsi"/>
              <w:noProof/>
              <w:color w:val="auto"/>
            </w:rPr>
          </w:pPr>
          <w:hyperlink w:anchor="_Toc190338228" w:history="1">
            <w:r w:rsidR="005F0A53" w:rsidRPr="005F0A53">
              <w:rPr>
                <w:rStyle w:val="Hyperlink"/>
                <w:rFonts w:asciiTheme="minorHAnsi" w:hAnsiTheme="minorHAnsi" w:cstheme="minorHAnsi"/>
                <w:noProof/>
                <w:color w:val="auto"/>
              </w:rPr>
              <w:t>12</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Relevant Legislation/Guidance</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_Toc190338228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354DFFF9" w14:textId="77777777" w:rsidR="005F0A53" w:rsidRPr="005F0A53" w:rsidRDefault="005F0A53" w:rsidP="005F0A53">
          <w:pPr>
            <w:tabs>
              <w:tab w:val="left" w:pos="1134"/>
            </w:tabs>
            <w:ind w:firstLine="0"/>
            <w:rPr>
              <w:rFonts w:asciiTheme="minorHAnsi" w:eastAsiaTheme="minorEastAsia" w:hAnsiTheme="minorHAnsi" w:cstheme="minorHAnsi"/>
            </w:rPr>
          </w:pPr>
        </w:p>
        <w:p w14:paraId="362F0C6B" w14:textId="6DEACD8E" w:rsidR="005F0A53" w:rsidRPr="005F0A53" w:rsidRDefault="004B7667" w:rsidP="005F0A53">
          <w:pPr>
            <w:pStyle w:val="TOC1"/>
            <w:tabs>
              <w:tab w:val="clear" w:pos="1560"/>
              <w:tab w:val="left" w:pos="1134"/>
            </w:tabs>
            <w:rPr>
              <w:rFonts w:asciiTheme="minorHAnsi" w:eastAsiaTheme="minorEastAsia" w:hAnsiTheme="minorHAnsi" w:cstheme="minorHAnsi"/>
              <w:noProof/>
              <w:lang w:val="en-GB" w:eastAsia="en-GB"/>
            </w:rPr>
          </w:pPr>
          <w:hyperlink w:anchor="_Toc190338229" w:history="1">
            <w:r w:rsidR="005F0A53" w:rsidRPr="005F0A53">
              <w:rPr>
                <w:rStyle w:val="Hyperlink"/>
                <w:rFonts w:asciiTheme="minorHAnsi" w:hAnsiTheme="minorHAnsi" w:cstheme="minorHAnsi"/>
                <w:noProof/>
                <w:color w:val="auto"/>
              </w:rPr>
              <w:t>13</w:t>
            </w:r>
            <w:r w:rsidR="005F0A53" w:rsidRPr="005F0A53">
              <w:rPr>
                <w:rFonts w:asciiTheme="minorHAnsi" w:eastAsiaTheme="minorEastAsia" w:hAnsiTheme="minorHAnsi" w:cstheme="minorHAnsi"/>
                <w:noProof/>
                <w:lang w:val="en-GB" w:eastAsia="en-GB"/>
              </w:rPr>
              <w:tab/>
            </w:r>
            <w:r w:rsidR="005F0A53" w:rsidRPr="005F0A53">
              <w:rPr>
                <w:rStyle w:val="Hyperlink"/>
                <w:rFonts w:asciiTheme="minorHAnsi" w:hAnsiTheme="minorHAnsi" w:cstheme="minorHAnsi"/>
                <w:noProof/>
                <w:color w:val="auto"/>
              </w:rPr>
              <w:t>Version Control</w:t>
            </w:r>
            <w:r w:rsidR="005F0A53" w:rsidRPr="005F0A53">
              <w:rPr>
                <w:rFonts w:asciiTheme="minorHAnsi" w:hAnsiTheme="minorHAnsi" w:cstheme="minorHAnsi"/>
                <w:noProof/>
                <w:webHidden/>
              </w:rPr>
              <w:tab/>
            </w:r>
            <w:r w:rsidR="005F0A53" w:rsidRPr="005F0A53">
              <w:rPr>
                <w:rFonts w:asciiTheme="minorHAnsi" w:hAnsiTheme="minorHAnsi" w:cstheme="minorHAnsi"/>
                <w:noProof/>
                <w:webHidden/>
              </w:rPr>
              <w:fldChar w:fldCharType="begin"/>
            </w:r>
            <w:r w:rsidR="005F0A53" w:rsidRPr="005F0A53">
              <w:rPr>
                <w:rFonts w:asciiTheme="minorHAnsi" w:hAnsiTheme="minorHAnsi" w:cstheme="minorHAnsi"/>
                <w:noProof/>
                <w:webHidden/>
              </w:rPr>
              <w:instrText xml:space="preserve"> PAGEREF _Toc190338229 \h </w:instrText>
            </w:r>
            <w:r w:rsidR="005F0A53" w:rsidRPr="005F0A53">
              <w:rPr>
                <w:rFonts w:asciiTheme="minorHAnsi" w:hAnsiTheme="minorHAnsi" w:cstheme="minorHAnsi"/>
                <w:noProof/>
                <w:webHidden/>
              </w:rPr>
            </w:r>
            <w:r w:rsidR="005F0A53" w:rsidRPr="005F0A53">
              <w:rPr>
                <w:rFonts w:asciiTheme="minorHAnsi" w:hAnsiTheme="minorHAnsi" w:cstheme="minorHAnsi"/>
                <w:noProof/>
                <w:webHidden/>
              </w:rPr>
              <w:fldChar w:fldCharType="separate"/>
            </w:r>
            <w:r w:rsidR="00062C99">
              <w:rPr>
                <w:rFonts w:asciiTheme="minorHAnsi" w:hAnsiTheme="minorHAnsi" w:cstheme="minorHAnsi"/>
                <w:noProof/>
                <w:webHidden/>
              </w:rPr>
              <w:t>1</w:t>
            </w:r>
            <w:r w:rsidR="005F0A53" w:rsidRPr="005F0A53">
              <w:rPr>
                <w:rFonts w:asciiTheme="minorHAnsi" w:hAnsiTheme="minorHAnsi" w:cstheme="minorHAnsi"/>
                <w:noProof/>
                <w:webHidden/>
              </w:rPr>
              <w:fldChar w:fldCharType="end"/>
            </w:r>
          </w:hyperlink>
        </w:p>
        <w:p w14:paraId="33D3C300" w14:textId="2440FC2C" w:rsidR="001F432B" w:rsidRPr="00360B12" w:rsidRDefault="001F432B" w:rsidP="005F0A53">
          <w:pPr>
            <w:ind w:firstLine="0"/>
            <w:jc w:val="both"/>
            <w:rPr>
              <w:color w:val="auto"/>
            </w:rPr>
          </w:pPr>
          <w:r w:rsidRPr="005F0A53">
            <w:rPr>
              <w:rFonts w:asciiTheme="minorHAnsi" w:hAnsiTheme="minorHAnsi" w:cstheme="minorHAnsi"/>
              <w:color w:val="auto"/>
            </w:rPr>
            <w:fldChar w:fldCharType="end"/>
          </w:r>
        </w:p>
      </w:sdtContent>
    </w:sdt>
    <w:p w14:paraId="5DECB09D" w14:textId="77777777" w:rsidR="001F432B" w:rsidRPr="00360B12" w:rsidRDefault="001F432B" w:rsidP="001F432B">
      <w:pPr>
        <w:ind w:left="0" w:firstLine="0"/>
        <w:jc w:val="both"/>
        <w:rPr>
          <w:rFonts w:asciiTheme="majorHAnsi" w:eastAsiaTheme="majorEastAsia" w:hAnsiTheme="majorHAnsi" w:cstheme="majorBidi"/>
          <w:color w:val="auto"/>
          <w:sz w:val="28"/>
          <w:szCs w:val="28"/>
        </w:rPr>
      </w:pPr>
      <w:r w:rsidRPr="00360B12">
        <w:rPr>
          <w:color w:val="auto"/>
        </w:rPr>
        <w:br w:type="page"/>
      </w:r>
    </w:p>
    <w:p w14:paraId="5C405A2A" w14:textId="4B35C1A4"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3" w:name="_Toc190338217"/>
      <w:r w:rsidRPr="005F0A53">
        <w:rPr>
          <w:rFonts w:asciiTheme="minorHAnsi" w:hAnsiTheme="minorHAnsi" w:cstheme="minorHAnsi"/>
          <w:color w:val="auto"/>
          <w:sz w:val="24"/>
          <w:szCs w:val="24"/>
        </w:rPr>
        <w:lastRenderedPageBreak/>
        <w:t>Policy</w:t>
      </w:r>
      <w:bookmarkEnd w:id="0"/>
      <w:bookmarkEnd w:id="1"/>
      <w:bookmarkEnd w:id="3"/>
    </w:p>
    <w:p w14:paraId="2BCFE303" w14:textId="77777777" w:rsidR="001F432B" w:rsidRPr="005F0A53" w:rsidRDefault="001F432B" w:rsidP="001F432B">
      <w:pPr>
        <w:ind w:left="0" w:firstLine="0"/>
        <w:jc w:val="both"/>
        <w:rPr>
          <w:rFonts w:asciiTheme="minorHAnsi" w:hAnsiTheme="minorHAnsi" w:cstheme="minorHAnsi"/>
          <w:color w:val="auto"/>
        </w:rPr>
      </w:pPr>
    </w:p>
    <w:p w14:paraId="6144B730"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This policy sets out the College’s policy concerning all Treasury Management activities undertaken by the College, including the administration of Student Support Funds.</w:t>
      </w:r>
    </w:p>
    <w:p w14:paraId="2434A91F" w14:textId="77777777" w:rsidR="001F432B" w:rsidRPr="005F0A53" w:rsidRDefault="001F432B" w:rsidP="001F432B">
      <w:pPr>
        <w:jc w:val="both"/>
        <w:rPr>
          <w:rFonts w:asciiTheme="minorHAnsi" w:hAnsiTheme="minorHAnsi" w:cstheme="minorHAnsi"/>
          <w:color w:val="auto"/>
        </w:rPr>
      </w:pPr>
    </w:p>
    <w:p w14:paraId="1348C755"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Treasury Management comprises the management of all cash and funding resources of the College and the control of associated risks.</w:t>
      </w:r>
    </w:p>
    <w:p w14:paraId="6A13BCC7" w14:textId="77777777" w:rsidR="001F432B" w:rsidRPr="005F0A53" w:rsidRDefault="001F432B" w:rsidP="001F432B">
      <w:pPr>
        <w:pStyle w:val="ListParagraph"/>
        <w:rPr>
          <w:rFonts w:asciiTheme="minorHAnsi" w:hAnsiTheme="minorHAnsi" w:cstheme="minorHAnsi"/>
          <w:color w:val="auto"/>
        </w:rPr>
      </w:pPr>
    </w:p>
    <w:p w14:paraId="123E0147"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New College Lanarkshire is a body, incorporated by Statute, with charitable status and is mainly financed by public funds.  It is, therefore, unable to make speculative investments.  However, the concept of “Value for Money” means that the College should attempt to secure value and maximize its income from whatever short-term cash balances that it may have.</w:t>
      </w:r>
    </w:p>
    <w:p w14:paraId="6FC3B23E" w14:textId="77777777" w:rsidR="001F432B" w:rsidRPr="005F0A53" w:rsidRDefault="001F432B" w:rsidP="001F432B">
      <w:pPr>
        <w:pStyle w:val="Heading1"/>
        <w:numPr>
          <w:ilvl w:val="0"/>
          <w:numId w:val="1"/>
        </w:numPr>
        <w:jc w:val="both"/>
        <w:rPr>
          <w:rFonts w:asciiTheme="minorHAnsi" w:hAnsiTheme="minorHAnsi" w:cstheme="minorHAnsi"/>
          <w:color w:val="auto"/>
          <w:sz w:val="24"/>
          <w:szCs w:val="24"/>
        </w:rPr>
      </w:pPr>
      <w:bookmarkStart w:id="4" w:name="_Toc190338218"/>
      <w:r w:rsidRPr="005F0A53">
        <w:rPr>
          <w:rFonts w:asciiTheme="minorHAnsi" w:hAnsiTheme="minorHAnsi" w:cstheme="minorHAnsi"/>
          <w:color w:val="auto"/>
          <w:sz w:val="24"/>
          <w:szCs w:val="24"/>
        </w:rPr>
        <w:t>Purpose</w:t>
      </w:r>
      <w:bookmarkEnd w:id="4"/>
    </w:p>
    <w:p w14:paraId="4199F03B" w14:textId="77777777" w:rsidR="001F432B" w:rsidRPr="005F0A53" w:rsidRDefault="001F432B" w:rsidP="001F432B">
      <w:pPr>
        <w:jc w:val="both"/>
        <w:rPr>
          <w:rFonts w:asciiTheme="minorHAnsi" w:hAnsiTheme="minorHAnsi" w:cstheme="minorHAnsi"/>
          <w:b/>
          <w:color w:val="auto"/>
        </w:rPr>
      </w:pPr>
    </w:p>
    <w:p w14:paraId="49A1DD14"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 xml:space="preserve">The reason for the establishment and subsequent reviews of this Policy are:  </w:t>
      </w:r>
    </w:p>
    <w:p w14:paraId="61AB1358" w14:textId="77777777" w:rsidR="001F432B" w:rsidRPr="005F0A53" w:rsidRDefault="001F432B" w:rsidP="001F432B">
      <w:pPr>
        <w:pStyle w:val="ListParagraph"/>
        <w:numPr>
          <w:ilvl w:val="0"/>
          <w:numId w:val="3"/>
        </w:numPr>
        <w:jc w:val="both"/>
        <w:rPr>
          <w:rFonts w:asciiTheme="minorHAnsi" w:hAnsiTheme="minorHAnsi" w:cstheme="minorHAnsi"/>
          <w:color w:val="auto"/>
        </w:rPr>
      </w:pPr>
      <w:r w:rsidRPr="005F0A53">
        <w:rPr>
          <w:rFonts w:asciiTheme="minorHAnsi" w:hAnsiTheme="minorHAnsi" w:cstheme="minorHAnsi"/>
          <w:color w:val="auto"/>
        </w:rPr>
        <w:t>the merger of Motherwell, Cumbernauld and Coatbridge Colleges (completed on 1</w:t>
      </w:r>
      <w:r w:rsidRPr="005F0A53">
        <w:rPr>
          <w:rFonts w:asciiTheme="minorHAnsi" w:hAnsiTheme="minorHAnsi" w:cstheme="minorHAnsi"/>
          <w:color w:val="auto"/>
          <w:vertAlign w:val="superscript"/>
        </w:rPr>
        <w:t>st</w:t>
      </w:r>
      <w:r w:rsidRPr="005F0A53">
        <w:rPr>
          <w:rFonts w:asciiTheme="minorHAnsi" w:hAnsiTheme="minorHAnsi" w:cstheme="minorHAnsi"/>
          <w:color w:val="auto"/>
        </w:rPr>
        <w:t xml:space="preserve"> April 2014) required a single policy to be formed from the three legacy policies;  </w:t>
      </w:r>
    </w:p>
    <w:p w14:paraId="7B11F0F4" w14:textId="18C340C7" w:rsidR="001F432B" w:rsidRPr="005F0A53" w:rsidRDefault="001F432B" w:rsidP="001F432B">
      <w:pPr>
        <w:pStyle w:val="ListParagraph"/>
        <w:numPr>
          <w:ilvl w:val="0"/>
          <w:numId w:val="3"/>
        </w:numPr>
        <w:jc w:val="both"/>
        <w:rPr>
          <w:rFonts w:asciiTheme="minorHAnsi" w:hAnsiTheme="minorHAnsi" w:cstheme="minorHAnsi"/>
          <w:color w:val="auto"/>
        </w:rPr>
      </w:pPr>
      <w:r w:rsidRPr="005F0A53">
        <w:rPr>
          <w:rFonts w:asciiTheme="minorHAnsi" w:hAnsiTheme="minorHAnsi" w:cstheme="minorHAnsi"/>
          <w:color w:val="auto"/>
        </w:rPr>
        <w:t>that on 1</w:t>
      </w:r>
      <w:r w:rsidRPr="005F0A53">
        <w:rPr>
          <w:rFonts w:asciiTheme="minorHAnsi" w:hAnsiTheme="minorHAnsi" w:cstheme="minorHAnsi"/>
          <w:color w:val="auto"/>
          <w:vertAlign w:val="superscript"/>
        </w:rPr>
        <w:t>st</w:t>
      </w:r>
      <w:r w:rsidRPr="005F0A53">
        <w:rPr>
          <w:rFonts w:asciiTheme="minorHAnsi" w:hAnsiTheme="minorHAnsi" w:cstheme="minorHAnsi"/>
          <w:color w:val="auto"/>
        </w:rPr>
        <w:t xml:space="preserve"> April 2014, the College (in common with all FE Colleges in Scotland) became a General Public Body (termed as the “ONS Reclassification”) and, as such, must comply with the direction of the Scottish Public Finance Manual (SPFM);</w:t>
      </w:r>
    </w:p>
    <w:p w14:paraId="7A55C69C" w14:textId="2A9C6103" w:rsidR="001F432B" w:rsidRPr="005F0A53" w:rsidRDefault="001F432B" w:rsidP="001F432B">
      <w:pPr>
        <w:pStyle w:val="ListParagraph"/>
        <w:numPr>
          <w:ilvl w:val="0"/>
          <w:numId w:val="3"/>
        </w:numPr>
        <w:jc w:val="both"/>
        <w:rPr>
          <w:rFonts w:asciiTheme="minorHAnsi" w:hAnsiTheme="minorHAnsi" w:cstheme="minorHAnsi"/>
          <w:color w:val="auto"/>
        </w:rPr>
      </w:pPr>
      <w:r w:rsidRPr="005F0A53">
        <w:rPr>
          <w:rFonts w:asciiTheme="minorHAnsi" w:hAnsiTheme="minorHAnsi" w:cstheme="minorHAnsi"/>
          <w:color w:val="auto"/>
        </w:rPr>
        <w:t xml:space="preserve">part of the ongoing cyclical review of policies and procedures and </w:t>
      </w:r>
      <w:r w:rsidR="005C5895" w:rsidRPr="005F0A53">
        <w:rPr>
          <w:rFonts w:asciiTheme="minorHAnsi" w:hAnsiTheme="minorHAnsi" w:cstheme="minorHAnsi"/>
          <w:color w:val="auto"/>
        </w:rPr>
        <w:t>required</w:t>
      </w:r>
      <w:r w:rsidRPr="005F0A53">
        <w:rPr>
          <w:rFonts w:asciiTheme="minorHAnsi" w:hAnsiTheme="minorHAnsi" w:cstheme="minorHAnsi"/>
          <w:color w:val="auto"/>
        </w:rPr>
        <w:t xml:space="preserve"> further review for alignment with Strategy 2025.</w:t>
      </w:r>
    </w:p>
    <w:p w14:paraId="47B1462F" w14:textId="77777777" w:rsidR="001F432B" w:rsidRPr="005F0A53" w:rsidRDefault="001F432B" w:rsidP="001F432B">
      <w:pPr>
        <w:pStyle w:val="Heading1"/>
        <w:numPr>
          <w:ilvl w:val="0"/>
          <w:numId w:val="1"/>
        </w:numPr>
        <w:jc w:val="both"/>
        <w:rPr>
          <w:rFonts w:asciiTheme="minorHAnsi" w:hAnsiTheme="minorHAnsi" w:cstheme="minorHAnsi"/>
          <w:color w:val="auto"/>
          <w:sz w:val="24"/>
          <w:szCs w:val="24"/>
        </w:rPr>
      </w:pPr>
      <w:bookmarkStart w:id="5" w:name="_Toc190338219"/>
      <w:r w:rsidRPr="005F0A53">
        <w:rPr>
          <w:rFonts w:asciiTheme="minorHAnsi" w:hAnsiTheme="minorHAnsi" w:cstheme="minorHAnsi"/>
          <w:color w:val="auto"/>
          <w:sz w:val="24"/>
          <w:szCs w:val="24"/>
        </w:rPr>
        <w:t>Aims</w:t>
      </w:r>
      <w:bookmarkEnd w:id="5"/>
    </w:p>
    <w:p w14:paraId="76DE481F" w14:textId="77777777" w:rsidR="001F432B" w:rsidRPr="005F0A53" w:rsidRDefault="001F432B" w:rsidP="001F432B">
      <w:pPr>
        <w:ind w:left="0" w:firstLine="0"/>
        <w:jc w:val="both"/>
        <w:rPr>
          <w:rFonts w:asciiTheme="minorHAnsi" w:hAnsiTheme="minorHAnsi" w:cstheme="minorHAnsi"/>
          <w:b/>
          <w:color w:val="auto"/>
        </w:rPr>
      </w:pPr>
    </w:p>
    <w:p w14:paraId="4881BF4D"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The aims of this policy are:</w:t>
      </w:r>
    </w:p>
    <w:p w14:paraId="3494D87F" w14:textId="77777777" w:rsidR="001F432B" w:rsidRPr="005F0A53" w:rsidRDefault="001F432B" w:rsidP="001F432B">
      <w:pPr>
        <w:pStyle w:val="ListParagraph"/>
        <w:numPr>
          <w:ilvl w:val="0"/>
          <w:numId w:val="4"/>
        </w:numPr>
        <w:jc w:val="both"/>
        <w:rPr>
          <w:rFonts w:asciiTheme="minorHAnsi" w:hAnsiTheme="minorHAnsi" w:cstheme="minorHAnsi"/>
          <w:color w:val="auto"/>
        </w:rPr>
      </w:pPr>
      <w:r w:rsidRPr="005F0A53">
        <w:rPr>
          <w:rFonts w:asciiTheme="minorHAnsi" w:hAnsiTheme="minorHAnsi" w:cstheme="minorHAnsi"/>
          <w:color w:val="auto"/>
        </w:rPr>
        <w:t>To ensure that effective Treasury Management supports the achievement of the College’s Strategic and Operational Plans;</w:t>
      </w:r>
    </w:p>
    <w:p w14:paraId="4D424CB7" w14:textId="1DB53FA9" w:rsidR="001F432B" w:rsidRPr="005F0A53" w:rsidRDefault="001F432B" w:rsidP="001F432B">
      <w:pPr>
        <w:pStyle w:val="ListParagraph"/>
        <w:numPr>
          <w:ilvl w:val="0"/>
          <w:numId w:val="4"/>
        </w:numPr>
        <w:jc w:val="both"/>
        <w:rPr>
          <w:rFonts w:asciiTheme="minorHAnsi" w:hAnsiTheme="minorHAnsi" w:cstheme="minorHAnsi"/>
          <w:color w:val="auto"/>
        </w:rPr>
      </w:pPr>
      <w:r w:rsidRPr="005F0A53">
        <w:rPr>
          <w:rFonts w:asciiTheme="minorHAnsi" w:hAnsiTheme="minorHAnsi" w:cstheme="minorHAnsi"/>
          <w:color w:val="auto"/>
        </w:rPr>
        <w:t>To ensure that the Treasury Management function is undertaken with openness and transparency</w:t>
      </w:r>
      <w:r w:rsidR="00E30F6A" w:rsidRPr="005F0A53">
        <w:rPr>
          <w:rFonts w:asciiTheme="minorHAnsi" w:hAnsiTheme="minorHAnsi" w:cstheme="minorHAnsi"/>
          <w:color w:val="auto"/>
        </w:rPr>
        <w:t>;</w:t>
      </w:r>
    </w:p>
    <w:p w14:paraId="0385D463" w14:textId="77777777" w:rsidR="001F432B" w:rsidRPr="005F0A53" w:rsidRDefault="001F432B" w:rsidP="001F432B">
      <w:pPr>
        <w:pStyle w:val="ListParagraph"/>
        <w:numPr>
          <w:ilvl w:val="0"/>
          <w:numId w:val="4"/>
        </w:numPr>
        <w:jc w:val="both"/>
        <w:rPr>
          <w:rFonts w:asciiTheme="minorHAnsi" w:hAnsiTheme="minorHAnsi" w:cstheme="minorHAnsi"/>
          <w:color w:val="auto"/>
        </w:rPr>
      </w:pPr>
      <w:r w:rsidRPr="005F0A53">
        <w:rPr>
          <w:rFonts w:asciiTheme="minorHAnsi" w:hAnsiTheme="minorHAnsi" w:cstheme="minorHAnsi"/>
          <w:color w:val="auto"/>
        </w:rPr>
        <w:t>To ensure that there is a clear distinction between those members of staff charged with setting Treasury Management policies, particularly with the execution and transmission of funds, and the recording and administering of Treasury Management decisions.</w:t>
      </w:r>
    </w:p>
    <w:p w14:paraId="40318D84" w14:textId="77777777" w:rsidR="001F432B" w:rsidRPr="005F0A53" w:rsidRDefault="001F432B" w:rsidP="001F432B">
      <w:pPr>
        <w:pStyle w:val="ListParagraph"/>
        <w:ind w:left="1440" w:firstLine="0"/>
        <w:jc w:val="both"/>
        <w:rPr>
          <w:rFonts w:asciiTheme="minorHAnsi" w:hAnsiTheme="minorHAnsi" w:cstheme="minorHAnsi"/>
          <w:color w:val="auto"/>
        </w:rPr>
      </w:pPr>
    </w:p>
    <w:p w14:paraId="480ED998"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The identification, monitoring and control of risk are the prime criteria by which the effectiveness of the College’s Treasury Management activities will be measured.</w:t>
      </w:r>
    </w:p>
    <w:p w14:paraId="7CBE717C" w14:textId="77777777" w:rsidR="001F432B" w:rsidRPr="005F0A53" w:rsidRDefault="001F432B" w:rsidP="001F432B">
      <w:pPr>
        <w:ind w:left="0" w:firstLine="0"/>
        <w:jc w:val="both"/>
        <w:rPr>
          <w:rFonts w:asciiTheme="minorHAnsi" w:hAnsiTheme="minorHAnsi" w:cstheme="minorHAnsi"/>
          <w:color w:val="auto"/>
        </w:rPr>
      </w:pPr>
    </w:p>
    <w:p w14:paraId="31149703" w14:textId="77777777" w:rsidR="001F432B" w:rsidRPr="005F0A53" w:rsidRDefault="001F432B" w:rsidP="001F432B">
      <w:pPr>
        <w:ind w:left="0" w:firstLine="0"/>
        <w:jc w:val="both"/>
        <w:rPr>
          <w:rFonts w:asciiTheme="minorHAnsi" w:hAnsiTheme="minorHAnsi" w:cstheme="minorHAnsi"/>
          <w:color w:val="auto"/>
        </w:rPr>
      </w:pPr>
    </w:p>
    <w:p w14:paraId="24A5D254" w14:textId="4F252D7F" w:rsidR="005F0A53" w:rsidRPr="005F0A53" w:rsidRDefault="005F0A53">
      <w:pPr>
        <w:spacing w:after="160" w:line="259" w:lineRule="auto"/>
        <w:ind w:left="0" w:firstLine="0"/>
        <w:rPr>
          <w:rFonts w:asciiTheme="minorHAnsi" w:hAnsiTheme="minorHAnsi" w:cstheme="minorHAnsi"/>
          <w:color w:val="auto"/>
        </w:rPr>
      </w:pPr>
      <w:r w:rsidRPr="005F0A53">
        <w:rPr>
          <w:rFonts w:asciiTheme="minorHAnsi" w:hAnsiTheme="minorHAnsi" w:cstheme="minorHAnsi"/>
          <w:color w:val="auto"/>
        </w:rPr>
        <w:br w:type="page"/>
      </w:r>
    </w:p>
    <w:p w14:paraId="0882A3CE" w14:textId="77777777"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6" w:name="_Toc190338220"/>
      <w:r w:rsidRPr="005F0A53">
        <w:rPr>
          <w:rFonts w:asciiTheme="minorHAnsi" w:hAnsiTheme="minorHAnsi" w:cstheme="minorHAnsi"/>
          <w:color w:val="auto"/>
          <w:sz w:val="24"/>
          <w:szCs w:val="24"/>
        </w:rPr>
        <w:lastRenderedPageBreak/>
        <w:t>Scope</w:t>
      </w:r>
      <w:bookmarkEnd w:id="6"/>
    </w:p>
    <w:p w14:paraId="16D2CDA9" w14:textId="77777777" w:rsidR="001F432B" w:rsidRPr="005F0A53" w:rsidRDefault="001F432B" w:rsidP="001F432B">
      <w:pPr>
        <w:pStyle w:val="ListParagraph"/>
        <w:ind w:firstLine="0"/>
        <w:jc w:val="both"/>
        <w:rPr>
          <w:rFonts w:asciiTheme="minorHAnsi" w:hAnsiTheme="minorHAnsi" w:cstheme="minorHAnsi"/>
          <w:b/>
          <w:color w:val="auto"/>
        </w:rPr>
      </w:pPr>
    </w:p>
    <w:p w14:paraId="30288C3C" w14:textId="77777777" w:rsidR="001F432B" w:rsidRPr="005F0A53" w:rsidRDefault="001F432B" w:rsidP="001F432B">
      <w:pPr>
        <w:pStyle w:val="ListParagraph"/>
        <w:ind w:firstLine="0"/>
        <w:jc w:val="both"/>
        <w:rPr>
          <w:rFonts w:asciiTheme="minorHAnsi" w:hAnsiTheme="minorHAnsi" w:cstheme="minorHAnsi"/>
          <w:color w:val="auto"/>
        </w:rPr>
      </w:pPr>
      <w:r w:rsidRPr="005F0A53">
        <w:rPr>
          <w:rFonts w:asciiTheme="minorHAnsi" w:hAnsiTheme="minorHAnsi" w:cstheme="minorHAnsi"/>
          <w:color w:val="auto"/>
        </w:rPr>
        <w:t>The College will operate Treasury Management activities with reference to:</w:t>
      </w:r>
    </w:p>
    <w:p w14:paraId="1E98AA59"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The College strategic plan</w:t>
      </w:r>
    </w:p>
    <w:p w14:paraId="61CBD5EC"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The College’s operational plans</w:t>
      </w:r>
    </w:p>
    <w:p w14:paraId="63DAA469"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 xml:space="preserve">The revenue </w:t>
      </w:r>
      <w:proofErr w:type="gramStart"/>
      <w:r w:rsidRPr="005F0A53">
        <w:rPr>
          <w:rFonts w:asciiTheme="minorHAnsi" w:hAnsiTheme="minorHAnsi" w:cstheme="minorHAnsi"/>
          <w:color w:val="auto"/>
        </w:rPr>
        <w:t>budget</w:t>
      </w:r>
      <w:proofErr w:type="gramEnd"/>
    </w:p>
    <w:p w14:paraId="55E23CA4"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 xml:space="preserve">The capital </w:t>
      </w:r>
      <w:proofErr w:type="gramStart"/>
      <w:r w:rsidRPr="005F0A53">
        <w:rPr>
          <w:rFonts w:asciiTheme="minorHAnsi" w:hAnsiTheme="minorHAnsi" w:cstheme="minorHAnsi"/>
          <w:color w:val="auto"/>
        </w:rPr>
        <w:t>budget</w:t>
      </w:r>
      <w:proofErr w:type="gramEnd"/>
    </w:p>
    <w:p w14:paraId="633D3A04"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Cash flow forecasts; and</w:t>
      </w:r>
    </w:p>
    <w:p w14:paraId="3EE78E82" w14:textId="77777777" w:rsidR="001F432B" w:rsidRPr="005F0A53" w:rsidRDefault="001F432B" w:rsidP="001F432B">
      <w:pPr>
        <w:pStyle w:val="ListParagraph"/>
        <w:numPr>
          <w:ilvl w:val="0"/>
          <w:numId w:val="5"/>
        </w:numPr>
        <w:jc w:val="both"/>
        <w:rPr>
          <w:rFonts w:asciiTheme="minorHAnsi" w:hAnsiTheme="minorHAnsi" w:cstheme="minorHAnsi"/>
          <w:color w:val="auto"/>
        </w:rPr>
      </w:pPr>
      <w:r w:rsidRPr="005F0A53">
        <w:rPr>
          <w:rFonts w:asciiTheme="minorHAnsi" w:hAnsiTheme="minorHAnsi" w:cstheme="minorHAnsi"/>
          <w:color w:val="auto"/>
        </w:rPr>
        <w:t>Working capital management</w:t>
      </w:r>
    </w:p>
    <w:p w14:paraId="5452F003" w14:textId="77777777" w:rsidR="001F432B" w:rsidRPr="005F0A53" w:rsidRDefault="001F432B" w:rsidP="001F432B">
      <w:pPr>
        <w:pStyle w:val="Heading1"/>
        <w:numPr>
          <w:ilvl w:val="0"/>
          <w:numId w:val="1"/>
        </w:numPr>
        <w:jc w:val="both"/>
        <w:rPr>
          <w:rFonts w:asciiTheme="minorHAnsi" w:hAnsiTheme="minorHAnsi" w:cstheme="minorHAnsi"/>
          <w:color w:val="auto"/>
          <w:sz w:val="24"/>
          <w:szCs w:val="24"/>
        </w:rPr>
      </w:pPr>
      <w:bookmarkStart w:id="7" w:name="_Toc190338221"/>
      <w:r w:rsidRPr="005F0A53">
        <w:rPr>
          <w:rFonts w:asciiTheme="minorHAnsi" w:hAnsiTheme="minorHAnsi" w:cstheme="minorHAnsi"/>
          <w:color w:val="auto"/>
          <w:sz w:val="24"/>
          <w:szCs w:val="24"/>
        </w:rPr>
        <w:t>Borrowing and Capital Finance</w:t>
      </w:r>
      <w:bookmarkEnd w:id="7"/>
    </w:p>
    <w:p w14:paraId="0CCE7451" w14:textId="77777777" w:rsidR="001F432B" w:rsidRPr="005F0A53" w:rsidRDefault="001F432B" w:rsidP="001F432B">
      <w:pPr>
        <w:jc w:val="both"/>
        <w:rPr>
          <w:rFonts w:asciiTheme="minorHAnsi" w:hAnsiTheme="minorHAnsi" w:cstheme="minorHAnsi"/>
          <w:b/>
          <w:color w:val="auto"/>
        </w:rPr>
      </w:pPr>
    </w:p>
    <w:p w14:paraId="6750F701"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Under the provisions of the SPFM, College’s may not enter into new loan arrangements after 1</w:t>
      </w:r>
      <w:r w:rsidRPr="005F0A53">
        <w:rPr>
          <w:rFonts w:asciiTheme="minorHAnsi" w:hAnsiTheme="minorHAnsi" w:cstheme="minorHAnsi"/>
          <w:color w:val="auto"/>
          <w:vertAlign w:val="superscript"/>
        </w:rPr>
        <w:t>st</w:t>
      </w:r>
      <w:r w:rsidRPr="005F0A53">
        <w:rPr>
          <w:rFonts w:asciiTheme="minorHAnsi" w:hAnsiTheme="minorHAnsi" w:cstheme="minorHAnsi"/>
          <w:color w:val="auto"/>
        </w:rPr>
        <w:t xml:space="preserve"> April 2014.</w:t>
      </w:r>
    </w:p>
    <w:p w14:paraId="2820C851" w14:textId="77777777" w:rsidR="001F432B" w:rsidRPr="005F0A53" w:rsidRDefault="001F432B" w:rsidP="001F432B">
      <w:pPr>
        <w:pStyle w:val="ListParagraph"/>
        <w:ind w:firstLine="0"/>
        <w:jc w:val="both"/>
        <w:rPr>
          <w:rFonts w:asciiTheme="minorHAnsi" w:hAnsiTheme="minorHAnsi" w:cstheme="minorHAnsi"/>
          <w:color w:val="auto"/>
        </w:rPr>
      </w:pPr>
    </w:p>
    <w:p w14:paraId="0CB194EF" w14:textId="0DA4BC5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With regards to any pre-April 1</w:t>
      </w:r>
      <w:r w:rsidRPr="005F0A53">
        <w:rPr>
          <w:rFonts w:asciiTheme="minorHAnsi" w:hAnsiTheme="minorHAnsi" w:cstheme="minorHAnsi"/>
          <w:color w:val="auto"/>
          <w:vertAlign w:val="superscript"/>
        </w:rPr>
        <w:t>st</w:t>
      </w:r>
      <w:r w:rsidRPr="005F0A53">
        <w:rPr>
          <w:rFonts w:asciiTheme="minorHAnsi" w:hAnsiTheme="minorHAnsi" w:cstheme="minorHAnsi"/>
          <w:color w:val="auto"/>
        </w:rPr>
        <w:t xml:space="preserve"> 2014 continued borrowing (overdrafts, commercial loans, loans from Scottish Funding Council (SFC) and Lennartz agreements), repayment of the capital element is not part of SPFM budgetary control but </w:t>
      </w:r>
      <w:r w:rsidR="00E30F6A" w:rsidRPr="005F0A53">
        <w:rPr>
          <w:rFonts w:asciiTheme="minorHAnsi" w:hAnsiTheme="minorHAnsi" w:cstheme="minorHAnsi"/>
          <w:color w:val="auto"/>
        </w:rPr>
        <w:t xml:space="preserve">the </w:t>
      </w:r>
      <w:r w:rsidRPr="005F0A53">
        <w:rPr>
          <w:rFonts w:asciiTheme="minorHAnsi" w:hAnsiTheme="minorHAnsi" w:cstheme="minorHAnsi"/>
          <w:color w:val="auto"/>
        </w:rPr>
        <w:t xml:space="preserve">College must ensure that it has available cash resources outside of grant or grant-in-aid to make the necessary payment. </w:t>
      </w:r>
    </w:p>
    <w:p w14:paraId="13AB4F92" w14:textId="77777777" w:rsidR="001F432B" w:rsidRPr="005F0A53" w:rsidRDefault="001F432B" w:rsidP="001F432B">
      <w:pPr>
        <w:pStyle w:val="ListParagraph"/>
        <w:jc w:val="both"/>
        <w:rPr>
          <w:rFonts w:asciiTheme="minorHAnsi" w:hAnsiTheme="minorHAnsi" w:cstheme="minorHAnsi"/>
          <w:color w:val="auto"/>
        </w:rPr>
      </w:pPr>
    </w:p>
    <w:p w14:paraId="2E18571A" w14:textId="77777777" w:rsidR="001F432B" w:rsidRPr="005F0A53" w:rsidRDefault="001F432B" w:rsidP="001F432B">
      <w:pPr>
        <w:pStyle w:val="ListParagraph"/>
        <w:numPr>
          <w:ilvl w:val="1"/>
          <w:numId w:val="1"/>
        </w:numPr>
        <w:jc w:val="both"/>
        <w:rPr>
          <w:rFonts w:asciiTheme="minorHAnsi" w:hAnsiTheme="minorHAnsi" w:cstheme="minorHAnsi"/>
          <w:color w:val="auto"/>
        </w:rPr>
      </w:pPr>
      <w:r w:rsidRPr="005F0A53">
        <w:rPr>
          <w:rFonts w:asciiTheme="minorHAnsi" w:hAnsiTheme="minorHAnsi" w:cstheme="minorHAnsi"/>
          <w:color w:val="auto"/>
        </w:rPr>
        <w:t>Where a finance lease is used for the purposes of investment in capital equipment, this shall be considered to be borrowing within the terms of this policy.</w:t>
      </w:r>
    </w:p>
    <w:p w14:paraId="76D249B9" w14:textId="184FD5B8"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8" w:name="_Toc190338222"/>
      <w:r w:rsidRPr="005F0A53">
        <w:rPr>
          <w:rFonts w:asciiTheme="minorHAnsi" w:hAnsiTheme="minorHAnsi" w:cstheme="minorHAnsi"/>
          <w:color w:val="auto"/>
          <w:sz w:val="24"/>
          <w:szCs w:val="24"/>
        </w:rPr>
        <w:t>College Bank Accounts</w:t>
      </w:r>
      <w:bookmarkEnd w:id="8"/>
    </w:p>
    <w:p w14:paraId="7C6330C5" w14:textId="77777777" w:rsidR="001F432B" w:rsidRPr="005F0A53" w:rsidRDefault="001F432B" w:rsidP="001F432B">
      <w:pPr>
        <w:ind w:left="0" w:firstLine="0"/>
        <w:jc w:val="both"/>
        <w:rPr>
          <w:rFonts w:asciiTheme="minorHAnsi" w:hAnsiTheme="minorHAnsi" w:cstheme="minorHAnsi"/>
          <w:b/>
          <w:color w:val="auto"/>
        </w:rPr>
      </w:pPr>
    </w:p>
    <w:p w14:paraId="0452EB6F" w14:textId="43DB760A" w:rsidR="001F432B" w:rsidRPr="005F0A53"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rPr>
        <w:t>6.1</w:t>
      </w:r>
      <w:r w:rsidRPr="005F0A53">
        <w:rPr>
          <w:rFonts w:asciiTheme="minorHAnsi" w:hAnsiTheme="minorHAnsi" w:cstheme="minorHAnsi"/>
          <w:color w:val="auto"/>
        </w:rPr>
        <w:tab/>
        <w:t xml:space="preserve">The Finance Committee will provide strategic direction and the Finance Department oversee the operation of the College’s banking and investment accounts.  The use of any new banks for transaction processing or for the placing of </w:t>
      </w:r>
      <w:r w:rsidR="004855EA" w:rsidRPr="005F0A53">
        <w:rPr>
          <w:rFonts w:asciiTheme="minorHAnsi" w:hAnsiTheme="minorHAnsi" w:cstheme="minorHAnsi"/>
          <w:color w:val="auto"/>
        </w:rPr>
        <w:t>short-term</w:t>
      </w:r>
      <w:r w:rsidRPr="005F0A53">
        <w:rPr>
          <w:rFonts w:asciiTheme="minorHAnsi" w:hAnsiTheme="minorHAnsi" w:cstheme="minorHAnsi"/>
          <w:color w:val="auto"/>
        </w:rPr>
        <w:t xml:space="preserve"> investments must be within the Government Banking Framework and approved by the Finance Committee.</w:t>
      </w:r>
    </w:p>
    <w:p w14:paraId="7C1EAA28" w14:textId="77777777" w:rsidR="001F432B" w:rsidRPr="005F0A53" w:rsidRDefault="001F432B" w:rsidP="001F432B">
      <w:pPr>
        <w:ind w:left="0" w:firstLine="0"/>
        <w:jc w:val="both"/>
        <w:rPr>
          <w:rFonts w:asciiTheme="minorHAnsi" w:hAnsiTheme="minorHAnsi" w:cstheme="minorHAnsi"/>
          <w:color w:val="auto"/>
        </w:rPr>
      </w:pPr>
    </w:p>
    <w:p w14:paraId="3F72C082" w14:textId="77777777" w:rsidR="001F432B" w:rsidRPr="005F0A53" w:rsidRDefault="001F432B" w:rsidP="001F432B">
      <w:pPr>
        <w:ind w:left="0" w:firstLine="0"/>
        <w:jc w:val="both"/>
        <w:rPr>
          <w:rFonts w:asciiTheme="minorHAnsi" w:hAnsiTheme="minorHAnsi" w:cstheme="minorHAnsi"/>
          <w:color w:val="auto"/>
        </w:rPr>
      </w:pPr>
      <w:r w:rsidRPr="005F0A53">
        <w:rPr>
          <w:rFonts w:asciiTheme="minorHAnsi" w:hAnsiTheme="minorHAnsi" w:cstheme="minorHAnsi"/>
          <w:color w:val="auto"/>
        </w:rPr>
        <w:t>6.2</w:t>
      </w:r>
      <w:r w:rsidRPr="005F0A53">
        <w:rPr>
          <w:rFonts w:asciiTheme="minorHAnsi" w:hAnsiTheme="minorHAnsi" w:cstheme="minorHAnsi"/>
          <w:color w:val="auto"/>
        </w:rPr>
        <w:tab/>
        <w:t>Bank accounts will be operated in line with the College’s Financial Regulations.</w:t>
      </w:r>
    </w:p>
    <w:p w14:paraId="30501E5C" w14:textId="77777777" w:rsidR="001F432B" w:rsidRPr="005F0A53" w:rsidRDefault="001F432B" w:rsidP="001F432B">
      <w:pPr>
        <w:ind w:left="0" w:firstLine="0"/>
        <w:jc w:val="both"/>
        <w:rPr>
          <w:rFonts w:asciiTheme="minorHAnsi" w:hAnsiTheme="minorHAnsi" w:cstheme="minorHAnsi"/>
          <w:b/>
          <w:color w:val="auto"/>
        </w:rPr>
      </w:pPr>
    </w:p>
    <w:p w14:paraId="0CA96ED1" w14:textId="77777777" w:rsidR="001F432B" w:rsidRPr="005F0A53"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rPr>
        <w:t xml:space="preserve">6.3 </w:t>
      </w:r>
      <w:r w:rsidRPr="005F0A53">
        <w:rPr>
          <w:rFonts w:asciiTheme="minorHAnsi" w:hAnsiTheme="minorHAnsi" w:cstheme="minorHAnsi"/>
          <w:color w:val="auto"/>
        </w:rPr>
        <w:tab/>
        <w:t>Interest due on Student Support Funds must be credited to the respective bank account and be made available to learners as specified in the guidance issued by SFC and the Student Awards Agency for Scotland (SAAS).</w:t>
      </w:r>
    </w:p>
    <w:p w14:paraId="5B0CEEAA" w14:textId="798747A4"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9" w:name="_Toc190338223"/>
      <w:r w:rsidRPr="005F0A53">
        <w:rPr>
          <w:rFonts w:asciiTheme="minorHAnsi" w:hAnsiTheme="minorHAnsi" w:cstheme="minorHAnsi"/>
          <w:color w:val="auto"/>
          <w:sz w:val="24"/>
          <w:szCs w:val="24"/>
        </w:rPr>
        <w:t>Appointed bankers</w:t>
      </w:r>
      <w:bookmarkEnd w:id="9"/>
    </w:p>
    <w:p w14:paraId="1A2CC614" w14:textId="77777777" w:rsidR="001F432B" w:rsidRPr="005F0A53" w:rsidRDefault="001F432B" w:rsidP="001F432B">
      <w:pPr>
        <w:pStyle w:val="ListParagraph"/>
        <w:ind w:firstLine="0"/>
        <w:jc w:val="both"/>
        <w:rPr>
          <w:rFonts w:asciiTheme="minorHAnsi" w:hAnsiTheme="minorHAnsi" w:cstheme="minorHAnsi"/>
          <w:b/>
          <w:color w:val="auto"/>
        </w:rPr>
      </w:pPr>
    </w:p>
    <w:p w14:paraId="42B7AA55" w14:textId="77777777" w:rsidR="001F432B" w:rsidRPr="005F0A53"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rPr>
        <w:t>7.1</w:t>
      </w:r>
      <w:r w:rsidRPr="005F0A53">
        <w:rPr>
          <w:rFonts w:asciiTheme="minorHAnsi" w:hAnsiTheme="minorHAnsi" w:cstheme="minorHAnsi"/>
          <w:color w:val="auto"/>
        </w:rPr>
        <w:tab/>
        <w:t>As a matter of good practice, the College will, on an on-going basis, review the service arrangements with its appointed bankers to ensure that value for money is being achieved.</w:t>
      </w:r>
    </w:p>
    <w:p w14:paraId="1B0E5A25" w14:textId="55D448FA" w:rsidR="005F0A53" w:rsidRPr="005F0A53" w:rsidRDefault="005F0A53">
      <w:pPr>
        <w:spacing w:after="160" w:line="259" w:lineRule="auto"/>
        <w:ind w:left="0" w:firstLine="0"/>
        <w:rPr>
          <w:rFonts w:asciiTheme="minorHAnsi" w:hAnsiTheme="minorHAnsi" w:cstheme="minorHAnsi"/>
          <w:color w:val="auto"/>
        </w:rPr>
      </w:pPr>
      <w:r w:rsidRPr="005F0A53">
        <w:rPr>
          <w:rFonts w:asciiTheme="minorHAnsi" w:hAnsiTheme="minorHAnsi" w:cstheme="minorHAnsi"/>
          <w:color w:val="auto"/>
        </w:rPr>
        <w:br w:type="page"/>
      </w:r>
    </w:p>
    <w:p w14:paraId="10A4FA10" w14:textId="1598E0AC" w:rsidR="001F432B" w:rsidRPr="005F0A53"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rPr>
        <w:lastRenderedPageBreak/>
        <w:t>7.2</w:t>
      </w:r>
      <w:r w:rsidRPr="005F0A53">
        <w:rPr>
          <w:rFonts w:asciiTheme="minorHAnsi" w:hAnsiTheme="minorHAnsi" w:cstheme="minorHAnsi"/>
          <w:color w:val="auto"/>
        </w:rPr>
        <w:tab/>
        <w:t>It is noted that, as a result of ONS Reclassification, the College moved to the Government Banking Service from 2016/17.  Banking arrangements should not, therefore, be extended or amended without express prior agreement with the Scottish Government.</w:t>
      </w:r>
    </w:p>
    <w:p w14:paraId="2419E944" w14:textId="48BA41B9"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10" w:name="_Toc190338224"/>
      <w:r w:rsidRPr="005F0A53">
        <w:rPr>
          <w:rFonts w:asciiTheme="minorHAnsi" w:hAnsiTheme="minorHAnsi" w:cstheme="minorHAnsi"/>
          <w:color w:val="auto"/>
          <w:sz w:val="24"/>
          <w:szCs w:val="24"/>
        </w:rPr>
        <w:t>Investing and Depositing of Excess Funds</w:t>
      </w:r>
      <w:bookmarkEnd w:id="10"/>
    </w:p>
    <w:p w14:paraId="1116AB0D" w14:textId="77777777" w:rsidR="001F432B" w:rsidRPr="005F0A53" w:rsidRDefault="001F432B" w:rsidP="001F432B">
      <w:pPr>
        <w:ind w:left="0" w:firstLine="0"/>
        <w:jc w:val="both"/>
        <w:rPr>
          <w:rFonts w:asciiTheme="minorHAnsi" w:hAnsiTheme="minorHAnsi" w:cstheme="minorHAnsi"/>
          <w:b/>
          <w:color w:val="auto"/>
        </w:rPr>
      </w:pPr>
    </w:p>
    <w:p w14:paraId="2DACC0EE" w14:textId="77777777" w:rsidR="001F432B" w:rsidRPr="005F0A53"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lang w:val="en-GB"/>
        </w:rPr>
        <w:t>8.1</w:t>
      </w:r>
      <w:r w:rsidRPr="005F0A53">
        <w:rPr>
          <w:rFonts w:asciiTheme="minorHAnsi" w:hAnsiTheme="minorHAnsi" w:cstheme="minorHAnsi"/>
          <w:color w:val="auto"/>
          <w:lang w:val="en-GB"/>
        </w:rPr>
        <w:tab/>
        <w:t>The ONS Reclassification requires that Colleges request cash on a monthly basis from SFC.  Supplementary to this, Colleges should not request cash in advance of need.  It follows that there will be little excess funds to deposit or invest (compared to the pre-ONS position).  However, for the purposes of completeness, the following will apply.</w:t>
      </w:r>
    </w:p>
    <w:p w14:paraId="57722E92" w14:textId="77777777" w:rsidR="001F432B" w:rsidRPr="005F0A53" w:rsidRDefault="001F432B" w:rsidP="001F432B">
      <w:pPr>
        <w:ind w:left="0" w:firstLine="0"/>
        <w:jc w:val="both"/>
        <w:rPr>
          <w:rFonts w:asciiTheme="minorHAnsi" w:hAnsiTheme="minorHAnsi" w:cstheme="minorHAnsi"/>
          <w:color w:val="auto"/>
          <w:lang w:val="en-GB"/>
        </w:rPr>
      </w:pPr>
    </w:p>
    <w:p w14:paraId="52717526" w14:textId="359604C0" w:rsidR="001F432B" w:rsidRPr="005F0A53" w:rsidRDefault="001F432B" w:rsidP="07707A39">
      <w:pPr>
        <w:pStyle w:val="Default"/>
        <w:ind w:left="720" w:hanging="720"/>
        <w:jc w:val="both"/>
        <w:rPr>
          <w:rFonts w:asciiTheme="minorHAnsi" w:eastAsia="Times New Roman" w:hAnsiTheme="minorHAnsi" w:cstheme="minorHAnsi"/>
          <w:color w:val="auto"/>
          <w:lang w:val="en-US"/>
        </w:rPr>
      </w:pPr>
      <w:r w:rsidRPr="005F0A53">
        <w:rPr>
          <w:rFonts w:asciiTheme="minorHAnsi" w:eastAsia="Times New Roman" w:hAnsiTheme="minorHAnsi" w:cstheme="minorHAnsi"/>
          <w:color w:val="auto"/>
          <w:lang w:val="en-US"/>
        </w:rPr>
        <w:t>8.2</w:t>
      </w:r>
      <w:r w:rsidRPr="005F0A53">
        <w:rPr>
          <w:rFonts w:asciiTheme="minorHAnsi" w:hAnsiTheme="minorHAnsi" w:cstheme="minorHAnsi"/>
        </w:rPr>
        <w:tab/>
      </w:r>
      <w:r w:rsidRPr="005F0A53">
        <w:rPr>
          <w:rFonts w:asciiTheme="minorHAnsi" w:eastAsia="Times New Roman" w:hAnsiTheme="minorHAnsi" w:cstheme="minorHAnsi"/>
          <w:color w:val="auto"/>
          <w:lang w:val="en-US"/>
        </w:rPr>
        <w:t xml:space="preserve">The Chief </w:t>
      </w:r>
      <w:r w:rsidR="00E30F6A" w:rsidRPr="005F0A53">
        <w:rPr>
          <w:rFonts w:asciiTheme="minorHAnsi" w:eastAsia="Times New Roman" w:hAnsiTheme="minorHAnsi" w:cstheme="minorHAnsi"/>
          <w:color w:val="auto"/>
          <w:lang w:val="en-US"/>
        </w:rPr>
        <w:t>Resources</w:t>
      </w:r>
      <w:r w:rsidRPr="005F0A53">
        <w:rPr>
          <w:rFonts w:asciiTheme="minorHAnsi" w:eastAsia="Times New Roman" w:hAnsiTheme="minorHAnsi" w:cstheme="minorHAnsi"/>
          <w:color w:val="auto"/>
          <w:lang w:val="en-US"/>
        </w:rPr>
        <w:t xml:space="preserve"> Officer has authority to invest excess funds in interest bearing accounts and fixed term investments within the Government Banking Service framework, whilst ensuring that the College has sufficient cash available to meet its commitments in the short term.  Such accounts must be operated in line with the Financial Procedures and Regulations; all transfers between bank accounts will require two signatories to authorise. </w:t>
      </w:r>
    </w:p>
    <w:p w14:paraId="65A81209" w14:textId="77777777" w:rsidR="001F432B" w:rsidRPr="005F0A53" w:rsidRDefault="001F432B" w:rsidP="001F432B">
      <w:pPr>
        <w:pStyle w:val="Default"/>
        <w:ind w:left="720" w:hanging="720"/>
        <w:jc w:val="both"/>
        <w:rPr>
          <w:rFonts w:asciiTheme="minorHAnsi" w:eastAsia="Times New Roman" w:hAnsiTheme="minorHAnsi" w:cstheme="minorHAnsi"/>
          <w:color w:val="auto"/>
        </w:rPr>
      </w:pPr>
    </w:p>
    <w:p w14:paraId="6405138D" w14:textId="41434C4D" w:rsidR="001F432B" w:rsidRPr="005F0A53" w:rsidRDefault="001F432B" w:rsidP="07707A39">
      <w:pPr>
        <w:pStyle w:val="Default"/>
        <w:ind w:left="720" w:hanging="720"/>
        <w:jc w:val="both"/>
        <w:rPr>
          <w:rFonts w:asciiTheme="minorHAnsi" w:eastAsia="Times New Roman" w:hAnsiTheme="minorHAnsi" w:cstheme="minorHAnsi"/>
          <w:color w:val="auto"/>
          <w:lang w:val="en-US"/>
        </w:rPr>
      </w:pPr>
      <w:r w:rsidRPr="005F0A53">
        <w:rPr>
          <w:rFonts w:asciiTheme="minorHAnsi" w:eastAsia="Times New Roman" w:hAnsiTheme="minorHAnsi" w:cstheme="minorHAnsi"/>
          <w:color w:val="auto"/>
          <w:lang w:val="en-US"/>
        </w:rPr>
        <w:t>8.3</w:t>
      </w:r>
      <w:r w:rsidRPr="005F0A53">
        <w:rPr>
          <w:rFonts w:asciiTheme="minorHAnsi" w:hAnsiTheme="minorHAnsi" w:cstheme="minorHAnsi"/>
        </w:rPr>
        <w:tab/>
      </w:r>
      <w:r w:rsidRPr="005F0A53">
        <w:rPr>
          <w:rFonts w:asciiTheme="minorHAnsi" w:eastAsia="Times New Roman" w:hAnsiTheme="minorHAnsi" w:cstheme="minorHAnsi"/>
          <w:color w:val="auto"/>
          <w:lang w:val="en-US"/>
        </w:rPr>
        <w:t xml:space="preserve">The College will not expose itself unnecessarily to currency risk and will therefore not make investments denominated in any currency other than Pounds Sterling unless where it is a requirement of any Grant.  All excess funds will be invested in UK based banks regulated by the Financial Services Authority (FSA) subject to the Government Banking Service framework. </w:t>
      </w:r>
    </w:p>
    <w:p w14:paraId="4DD2F386" w14:textId="77777777" w:rsidR="00BC16D5" w:rsidRPr="005F0A53" w:rsidRDefault="00BC16D5" w:rsidP="001F432B">
      <w:pPr>
        <w:pStyle w:val="Default"/>
        <w:ind w:left="720" w:hanging="720"/>
        <w:jc w:val="both"/>
        <w:rPr>
          <w:rFonts w:asciiTheme="minorHAnsi" w:eastAsia="Times New Roman" w:hAnsiTheme="minorHAnsi" w:cstheme="minorHAnsi"/>
          <w:color w:val="auto"/>
        </w:rPr>
      </w:pPr>
    </w:p>
    <w:p w14:paraId="31CBF180" w14:textId="65E5AB1E" w:rsidR="001F432B" w:rsidRPr="005F0A53" w:rsidRDefault="001F432B" w:rsidP="07707A39">
      <w:pPr>
        <w:pStyle w:val="Default"/>
        <w:ind w:left="720" w:hanging="720"/>
        <w:jc w:val="both"/>
        <w:rPr>
          <w:rFonts w:asciiTheme="minorHAnsi" w:eastAsia="Times New Roman" w:hAnsiTheme="minorHAnsi" w:cstheme="minorHAnsi"/>
          <w:color w:val="auto"/>
          <w:lang w:val="en-US"/>
        </w:rPr>
      </w:pPr>
      <w:r w:rsidRPr="005F0A53">
        <w:rPr>
          <w:rFonts w:asciiTheme="minorHAnsi" w:eastAsia="Times New Roman" w:hAnsiTheme="minorHAnsi" w:cstheme="minorHAnsi"/>
          <w:color w:val="auto"/>
          <w:lang w:val="en-US"/>
        </w:rPr>
        <w:t>8.4</w:t>
      </w:r>
      <w:r w:rsidRPr="005F0A53">
        <w:rPr>
          <w:rFonts w:asciiTheme="minorHAnsi" w:hAnsiTheme="minorHAnsi" w:cstheme="minorHAnsi"/>
        </w:rPr>
        <w:tab/>
      </w:r>
      <w:r w:rsidRPr="005F0A53">
        <w:rPr>
          <w:rFonts w:asciiTheme="minorHAnsi" w:eastAsia="Times New Roman" w:hAnsiTheme="minorHAnsi" w:cstheme="minorHAnsi"/>
          <w:color w:val="auto"/>
          <w:lang w:val="en-US"/>
        </w:rPr>
        <w:t xml:space="preserve">Subject to the Government Banking Service framework, the Finance Committee will approve the use of any new banks for the purposes of investing excess funds.  </w:t>
      </w:r>
      <w:r w:rsidRPr="00B34566">
        <w:rPr>
          <w:rFonts w:asciiTheme="minorHAnsi" w:eastAsia="Times New Roman" w:hAnsiTheme="minorHAnsi" w:cstheme="minorHAnsi"/>
          <w:color w:val="auto"/>
          <w:lang w:val="en-US"/>
        </w:rPr>
        <w:t xml:space="preserve">The Financial Controller will periodically review the market to ensure that the College is receiving a reasonable return on its investments and will also periodically review the credit ratings of the financial </w:t>
      </w:r>
      <w:r w:rsidR="005F0A53" w:rsidRPr="00B34566">
        <w:rPr>
          <w:rFonts w:asciiTheme="minorHAnsi" w:eastAsia="Times New Roman" w:hAnsiTheme="minorHAnsi" w:cstheme="minorHAnsi"/>
          <w:color w:val="auto"/>
          <w:lang w:val="en-US"/>
        </w:rPr>
        <w:t>institution’s</w:t>
      </w:r>
      <w:r w:rsidRPr="00B34566">
        <w:rPr>
          <w:rFonts w:asciiTheme="minorHAnsi" w:eastAsia="Times New Roman" w:hAnsiTheme="minorHAnsi" w:cstheme="minorHAnsi"/>
          <w:color w:val="auto"/>
          <w:lang w:val="en-US"/>
        </w:rPr>
        <w:t xml:space="preserve"> funds are deposited with.</w:t>
      </w:r>
      <w:r w:rsidRPr="005F0A53">
        <w:rPr>
          <w:rFonts w:asciiTheme="minorHAnsi" w:eastAsia="Times New Roman" w:hAnsiTheme="minorHAnsi" w:cstheme="minorHAnsi"/>
          <w:color w:val="auto"/>
          <w:lang w:val="en-US"/>
        </w:rPr>
        <w:t xml:space="preserve"> </w:t>
      </w:r>
    </w:p>
    <w:p w14:paraId="77FC76D7" w14:textId="77777777" w:rsidR="001F432B" w:rsidRPr="005F0A53" w:rsidRDefault="001F432B" w:rsidP="001F432B">
      <w:pPr>
        <w:pStyle w:val="Default"/>
        <w:ind w:left="720" w:hanging="720"/>
        <w:rPr>
          <w:rFonts w:asciiTheme="minorHAnsi" w:eastAsia="Times New Roman" w:hAnsiTheme="minorHAnsi" w:cstheme="minorHAnsi"/>
          <w:color w:val="auto"/>
        </w:rPr>
      </w:pPr>
    </w:p>
    <w:p w14:paraId="2B6810EA" w14:textId="30D53572" w:rsidR="001F432B" w:rsidRPr="005F0A53" w:rsidRDefault="001F432B" w:rsidP="001F432B">
      <w:pPr>
        <w:ind w:left="720"/>
        <w:jc w:val="both"/>
        <w:rPr>
          <w:rFonts w:asciiTheme="minorHAnsi" w:hAnsiTheme="minorHAnsi" w:cstheme="minorHAnsi"/>
          <w:color w:val="auto"/>
          <w:lang w:val="en-GB"/>
        </w:rPr>
      </w:pPr>
      <w:r w:rsidRPr="005F0A53">
        <w:rPr>
          <w:rFonts w:asciiTheme="minorHAnsi" w:hAnsiTheme="minorHAnsi" w:cstheme="minorHAnsi"/>
          <w:color w:val="auto"/>
          <w:lang w:val="en-GB"/>
        </w:rPr>
        <w:t xml:space="preserve">8.5 </w:t>
      </w:r>
      <w:r w:rsidRPr="005F0A53">
        <w:rPr>
          <w:rFonts w:asciiTheme="minorHAnsi" w:hAnsiTheme="minorHAnsi" w:cstheme="minorHAnsi"/>
          <w:color w:val="auto"/>
          <w:lang w:val="en-GB"/>
        </w:rPr>
        <w:tab/>
        <w:t>The Financial Controller will report bank balances and investments to each meeting of the Finance Committee.  This will normally be done through the Management Accounts.</w:t>
      </w:r>
    </w:p>
    <w:p w14:paraId="525DAFC2" w14:textId="2C782A81" w:rsidR="001F432B" w:rsidRPr="005F0A53" w:rsidRDefault="001F432B" w:rsidP="005F0A53">
      <w:pPr>
        <w:pStyle w:val="Heading1"/>
        <w:numPr>
          <w:ilvl w:val="0"/>
          <w:numId w:val="1"/>
        </w:numPr>
        <w:jc w:val="both"/>
        <w:rPr>
          <w:rFonts w:asciiTheme="minorHAnsi" w:hAnsiTheme="minorHAnsi" w:cstheme="minorHAnsi"/>
          <w:color w:val="auto"/>
          <w:sz w:val="24"/>
          <w:szCs w:val="24"/>
        </w:rPr>
      </w:pPr>
      <w:bookmarkStart w:id="11" w:name="_Toc190338225"/>
      <w:r w:rsidRPr="005F0A53">
        <w:rPr>
          <w:rFonts w:asciiTheme="minorHAnsi" w:hAnsiTheme="minorHAnsi" w:cstheme="minorHAnsi"/>
          <w:color w:val="auto"/>
          <w:sz w:val="24"/>
          <w:szCs w:val="24"/>
        </w:rPr>
        <w:t>Systems and Procedures</w:t>
      </w:r>
      <w:bookmarkEnd w:id="11"/>
    </w:p>
    <w:p w14:paraId="6F2C7BA4" w14:textId="77777777" w:rsidR="001F432B" w:rsidRPr="005F0A53" w:rsidRDefault="001F432B" w:rsidP="001F432B">
      <w:pPr>
        <w:jc w:val="both"/>
        <w:rPr>
          <w:rFonts w:asciiTheme="minorHAnsi" w:hAnsiTheme="minorHAnsi" w:cstheme="minorHAnsi"/>
          <w:b/>
          <w:color w:val="auto"/>
        </w:rPr>
      </w:pPr>
    </w:p>
    <w:p w14:paraId="18903E70" w14:textId="353C260E" w:rsidR="001F432B" w:rsidRPr="004B7667" w:rsidRDefault="001F432B" w:rsidP="001F432B">
      <w:pPr>
        <w:ind w:left="720"/>
        <w:jc w:val="both"/>
        <w:rPr>
          <w:rFonts w:asciiTheme="minorHAnsi" w:hAnsiTheme="minorHAnsi" w:cstheme="minorHAnsi"/>
          <w:color w:val="auto"/>
        </w:rPr>
      </w:pPr>
      <w:r w:rsidRPr="005F0A53">
        <w:rPr>
          <w:rFonts w:asciiTheme="minorHAnsi" w:hAnsiTheme="minorHAnsi" w:cstheme="minorHAnsi"/>
          <w:color w:val="auto"/>
        </w:rPr>
        <w:t>9.1</w:t>
      </w:r>
      <w:r w:rsidRPr="005F0A53">
        <w:rPr>
          <w:rFonts w:asciiTheme="minorHAnsi" w:hAnsiTheme="minorHAnsi" w:cstheme="minorHAnsi"/>
          <w:color w:val="auto"/>
        </w:rPr>
        <w:tab/>
        <w:t xml:space="preserve">The Chief </w:t>
      </w:r>
      <w:r w:rsidR="00C55078" w:rsidRPr="005F0A53">
        <w:rPr>
          <w:rFonts w:asciiTheme="minorHAnsi" w:hAnsiTheme="minorHAnsi" w:cstheme="minorHAnsi"/>
          <w:color w:val="auto"/>
        </w:rPr>
        <w:t>Resources</w:t>
      </w:r>
      <w:r w:rsidRPr="005F0A53">
        <w:rPr>
          <w:rFonts w:asciiTheme="minorHAnsi" w:hAnsiTheme="minorHAnsi" w:cstheme="minorHAnsi"/>
          <w:color w:val="auto"/>
        </w:rPr>
        <w:t xml:space="preserve"> Officer shall maintain appropriate systems, procedures and documentation to administer Treasury Management within this policy.  These systems will be subject to periodic review by the College’s Internal Auditors as part of the </w:t>
      </w:r>
      <w:r w:rsidRPr="004B7667">
        <w:rPr>
          <w:rFonts w:asciiTheme="minorHAnsi" w:hAnsiTheme="minorHAnsi" w:cstheme="minorHAnsi"/>
          <w:color w:val="auto"/>
        </w:rPr>
        <w:t>Annual Audit Needs Assessment.</w:t>
      </w:r>
    </w:p>
    <w:p w14:paraId="5F8CC4F8" w14:textId="06359E32" w:rsidR="001F191A" w:rsidRPr="004B7667" w:rsidRDefault="001F191A" w:rsidP="001F432B">
      <w:pPr>
        <w:ind w:left="720"/>
        <w:jc w:val="both"/>
        <w:rPr>
          <w:rFonts w:asciiTheme="minorHAnsi" w:hAnsiTheme="minorHAnsi" w:cstheme="minorHAnsi"/>
          <w:color w:val="auto"/>
        </w:rPr>
      </w:pPr>
    </w:p>
    <w:p w14:paraId="5BA769A7" w14:textId="20DDEB31" w:rsidR="00810FFC" w:rsidRPr="005F0A53" w:rsidRDefault="00AC0A47" w:rsidP="001F432B">
      <w:pPr>
        <w:ind w:left="720"/>
        <w:jc w:val="both"/>
        <w:rPr>
          <w:rFonts w:asciiTheme="minorHAnsi" w:hAnsiTheme="minorHAnsi" w:cstheme="minorHAnsi"/>
          <w:color w:val="auto"/>
        </w:rPr>
      </w:pPr>
      <w:r w:rsidRPr="004B7667">
        <w:rPr>
          <w:rFonts w:asciiTheme="minorHAnsi" w:hAnsiTheme="minorHAnsi" w:cstheme="minorHAnsi"/>
          <w:color w:val="auto"/>
        </w:rPr>
        <w:t>9.2</w:t>
      </w:r>
      <w:r w:rsidRPr="004B7667">
        <w:rPr>
          <w:rFonts w:asciiTheme="minorHAnsi" w:hAnsiTheme="minorHAnsi" w:cstheme="minorHAnsi"/>
          <w:color w:val="auto"/>
        </w:rPr>
        <w:tab/>
        <w:t xml:space="preserve">Any advance funding requested from the SFC will be notified to the Board </w:t>
      </w:r>
      <w:r w:rsidR="007D3630" w:rsidRPr="004B7667">
        <w:rPr>
          <w:rFonts w:asciiTheme="minorHAnsi" w:hAnsiTheme="minorHAnsi" w:cstheme="minorHAnsi"/>
          <w:color w:val="auto"/>
        </w:rPr>
        <w:t xml:space="preserve">and </w:t>
      </w:r>
      <w:r w:rsidRPr="004B7667">
        <w:rPr>
          <w:rFonts w:asciiTheme="minorHAnsi" w:hAnsiTheme="minorHAnsi" w:cstheme="minorHAnsi"/>
          <w:color w:val="auto"/>
        </w:rPr>
        <w:t>the Finance Committee, subject to agreement</w:t>
      </w:r>
      <w:r w:rsidRPr="005F0A53">
        <w:rPr>
          <w:rFonts w:asciiTheme="minorHAnsi" w:hAnsiTheme="minorHAnsi" w:cstheme="minorHAnsi"/>
          <w:color w:val="auto"/>
        </w:rPr>
        <w:t>.</w:t>
      </w:r>
    </w:p>
    <w:p w14:paraId="019CA9EA" w14:textId="4F3355EE" w:rsidR="00810FFC" w:rsidRPr="005F0A53" w:rsidRDefault="00810FFC" w:rsidP="001F432B">
      <w:pPr>
        <w:ind w:left="720"/>
        <w:jc w:val="both"/>
        <w:rPr>
          <w:rFonts w:asciiTheme="minorHAnsi" w:hAnsiTheme="minorHAnsi" w:cstheme="minorHAnsi"/>
          <w:color w:val="auto"/>
        </w:rPr>
      </w:pPr>
    </w:p>
    <w:p w14:paraId="7F746778" w14:textId="1903579B" w:rsidR="005F0A53" w:rsidRPr="005F0A53" w:rsidRDefault="005F0A53">
      <w:pPr>
        <w:spacing w:after="160" w:line="259" w:lineRule="auto"/>
        <w:ind w:left="0" w:firstLine="0"/>
        <w:rPr>
          <w:rFonts w:asciiTheme="minorHAnsi" w:hAnsiTheme="minorHAnsi" w:cstheme="minorHAnsi"/>
          <w:color w:val="auto"/>
        </w:rPr>
      </w:pPr>
      <w:r w:rsidRPr="005F0A53">
        <w:rPr>
          <w:rFonts w:asciiTheme="minorHAnsi" w:hAnsiTheme="minorHAnsi" w:cstheme="minorHAnsi"/>
          <w:color w:val="auto"/>
        </w:rPr>
        <w:br w:type="page"/>
      </w:r>
    </w:p>
    <w:p w14:paraId="651320C2" w14:textId="5A1A356E" w:rsidR="00692897" w:rsidRPr="005F0A53" w:rsidRDefault="001134AD" w:rsidP="005F0A53">
      <w:pPr>
        <w:pStyle w:val="Heading1"/>
        <w:numPr>
          <w:ilvl w:val="0"/>
          <w:numId w:val="1"/>
        </w:numPr>
        <w:jc w:val="both"/>
        <w:rPr>
          <w:rFonts w:asciiTheme="minorHAnsi" w:hAnsiTheme="minorHAnsi" w:cstheme="minorHAnsi"/>
          <w:color w:val="auto"/>
          <w:sz w:val="24"/>
          <w:szCs w:val="24"/>
        </w:rPr>
      </w:pPr>
      <w:bookmarkStart w:id="12" w:name="_Toc190338226"/>
      <w:r w:rsidRPr="005F0A53">
        <w:rPr>
          <w:rFonts w:asciiTheme="minorHAnsi" w:hAnsiTheme="minorHAnsi" w:cstheme="minorHAnsi"/>
          <w:color w:val="auto"/>
          <w:sz w:val="24"/>
          <w:szCs w:val="24"/>
        </w:rPr>
        <w:lastRenderedPageBreak/>
        <w:t>Intercompany transfers</w:t>
      </w:r>
      <w:bookmarkEnd w:id="12"/>
      <w:r w:rsidR="00D4768B" w:rsidRPr="005F0A53">
        <w:rPr>
          <w:rFonts w:asciiTheme="minorHAnsi" w:hAnsiTheme="minorHAnsi" w:cstheme="minorHAnsi"/>
          <w:color w:val="auto"/>
          <w:sz w:val="24"/>
          <w:szCs w:val="24"/>
        </w:rPr>
        <w:t xml:space="preserve"> </w:t>
      </w:r>
    </w:p>
    <w:p w14:paraId="0BE0212D" w14:textId="5A2BB70C" w:rsidR="00692897" w:rsidRPr="005F0A53" w:rsidRDefault="00692897" w:rsidP="001F432B">
      <w:pPr>
        <w:ind w:left="720"/>
        <w:jc w:val="both"/>
        <w:rPr>
          <w:rFonts w:asciiTheme="minorHAnsi" w:hAnsiTheme="minorHAnsi" w:cstheme="minorHAnsi"/>
          <w:b/>
          <w:color w:val="auto"/>
        </w:rPr>
      </w:pPr>
    </w:p>
    <w:p w14:paraId="07D2C0A6" w14:textId="24C179DD" w:rsidR="000D11FF" w:rsidRPr="004B7667" w:rsidRDefault="001F191A" w:rsidP="00810FFC">
      <w:pPr>
        <w:ind w:left="720"/>
        <w:jc w:val="both"/>
        <w:rPr>
          <w:rFonts w:asciiTheme="minorHAnsi" w:hAnsiTheme="minorHAnsi" w:cstheme="minorHAnsi"/>
          <w:color w:val="auto"/>
        </w:rPr>
      </w:pPr>
      <w:r w:rsidRPr="005F0A53">
        <w:rPr>
          <w:rFonts w:asciiTheme="minorHAnsi" w:hAnsiTheme="minorHAnsi" w:cstheme="minorHAnsi"/>
          <w:color w:val="auto"/>
        </w:rPr>
        <w:t>10.1</w:t>
      </w:r>
      <w:r w:rsidR="00810FFC" w:rsidRPr="005F0A53">
        <w:rPr>
          <w:rFonts w:asciiTheme="minorHAnsi" w:hAnsiTheme="minorHAnsi" w:cstheme="minorHAnsi"/>
          <w:color w:val="auto"/>
        </w:rPr>
        <w:tab/>
      </w:r>
      <w:r w:rsidR="001134AD" w:rsidRPr="004B7667">
        <w:rPr>
          <w:rFonts w:asciiTheme="minorHAnsi" w:hAnsiTheme="minorHAnsi" w:cstheme="minorHAnsi"/>
          <w:color w:val="auto"/>
        </w:rPr>
        <w:t>This refers to the transfer of cash balances between parent and subsidiary</w:t>
      </w:r>
      <w:r w:rsidR="005A4B75" w:rsidRPr="004B7667">
        <w:rPr>
          <w:rFonts w:asciiTheme="minorHAnsi" w:hAnsiTheme="minorHAnsi" w:cstheme="minorHAnsi"/>
          <w:color w:val="auto"/>
        </w:rPr>
        <w:t xml:space="preserve">, </w:t>
      </w:r>
      <w:r w:rsidR="001134AD" w:rsidRPr="004B7667">
        <w:rPr>
          <w:rFonts w:asciiTheme="minorHAnsi" w:hAnsiTheme="minorHAnsi" w:cstheme="minorHAnsi"/>
          <w:color w:val="auto"/>
        </w:rPr>
        <w:t>New College Lanarkshire</w:t>
      </w:r>
      <w:r w:rsidR="004B7667" w:rsidRPr="004B7667">
        <w:rPr>
          <w:rFonts w:asciiTheme="minorHAnsi" w:hAnsiTheme="minorHAnsi" w:cstheme="minorHAnsi"/>
          <w:color w:val="auto"/>
        </w:rPr>
        <w:t xml:space="preserve"> and </w:t>
      </w:r>
      <w:proofErr w:type="spellStart"/>
      <w:r w:rsidR="001134AD" w:rsidRPr="004B7667">
        <w:rPr>
          <w:rFonts w:asciiTheme="minorHAnsi" w:hAnsiTheme="minorHAnsi" w:cstheme="minorHAnsi"/>
          <w:color w:val="auto"/>
        </w:rPr>
        <w:t>Amcol</w:t>
      </w:r>
      <w:proofErr w:type="spellEnd"/>
      <w:r w:rsidR="001134AD" w:rsidRPr="004B7667">
        <w:rPr>
          <w:rFonts w:asciiTheme="minorHAnsi" w:hAnsiTheme="minorHAnsi" w:cstheme="minorHAnsi"/>
          <w:color w:val="auto"/>
        </w:rPr>
        <w:t xml:space="preserve"> Scotland Ltd.</w:t>
      </w:r>
    </w:p>
    <w:p w14:paraId="358A18F4" w14:textId="184BE691" w:rsidR="00161695" w:rsidRPr="004B7667" w:rsidRDefault="006852D9" w:rsidP="00161695">
      <w:pPr>
        <w:ind w:left="720" w:firstLine="0"/>
        <w:jc w:val="both"/>
        <w:rPr>
          <w:rFonts w:asciiTheme="minorHAnsi" w:hAnsiTheme="minorHAnsi" w:cstheme="minorHAnsi"/>
          <w:color w:val="auto"/>
        </w:rPr>
      </w:pPr>
      <w:r w:rsidRPr="004B7667">
        <w:rPr>
          <w:rFonts w:asciiTheme="minorHAnsi" w:hAnsiTheme="minorHAnsi" w:cstheme="minorHAnsi"/>
          <w:color w:val="auto"/>
        </w:rPr>
        <w:t>Subject to agreement, any intercompany transfers over £500k will require Finance Committee</w:t>
      </w:r>
      <w:r w:rsidR="005F38C3" w:rsidRPr="004B7667">
        <w:rPr>
          <w:rFonts w:asciiTheme="minorHAnsi" w:hAnsiTheme="minorHAnsi" w:cstheme="minorHAnsi"/>
          <w:color w:val="auto"/>
        </w:rPr>
        <w:t xml:space="preserve"> approval</w:t>
      </w:r>
      <w:r w:rsidR="004234A8" w:rsidRPr="004B7667">
        <w:rPr>
          <w:rFonts w:asciiTheme="minorHAnsi" w:hAnsiTheme="minorHAnsi" w:cstheme="minorHAnsi"/>
          <w:color w:val="auto"/>
        </w:rPr>
        <w:t xml:space="preserve"> and Board notification</w:t>
      </w:r>
      <w:r w:rsidRPr="004B7667">
        <w:rPr>
          <w:rFonts w:asciiTheme="minorHAnsi" w:hAnsiTheme="minorHAnsi" w:cstheme="minorHAnsi"/>
          <w:color w:val="auto"/>
        </w:rPr>
        <w:t>.</w:t>
      </w:r>
      <w:r w:rsidR="000F3438" w:rsidRPr="004B7667">
        <w:rPr>
          <w:rFonts w:asciiTheme="minorHAnsi" w:hAnsiTheme="minorHAnsi" w:cstheme="minorHAnsi"/>
          <w:color w:val="auto"/>
        </w:rPr>
        <w:t xml:space="preserve"> </w:t>
      </w:r>
      <w:r w:rsidR="005F38C3" w:rsidRPr="004B7667">
        <w:rPr>
          <w:rFonts w:asciiTheme="minorHAnsi" w:hAnsiTheme="minorHAnsi" w:cstheme="minorHAnsi"/>
          <w:color w:val="auto"/>
        </w:rPr>
        <w:t>Four weeks</w:t>
      </w:r>
      <w:r w:rsidR="00A57BDA" w:rsidRPr="004B7667">
        <w:rPr>
          <w:rFonts w:asciiTheme="minorHAnsi" w:hAnsiTheme="minorHAnsi" w:cstheme="minorHAnsi"/>
          <w:color w:val="auto"/>
        </w:rPr>
        <w:t>’</w:t>
      </w:r>
      <w:r w:rsidR="005F38C3" w:rsidRPr="004B7667">
        <w:rPr>
          <w:rFonts w:asciiTheme="minorHAnsi" w:hAnsiTheme="minorHAnsi" w:cstheme="minorHAnsi"/>
          <w:color w:val="auto"/>
        </w:rPr>
        <w:t xml:space="preserve"> </w:t>
      </w:r>
      <w:r w:rsidR="000F3438" w:rsidRPr="004B7667">
        <w:rPr>
          <w:rFonts w:asciiTheme="minorHAnsi" w:hAnsiTheme="minorHAnsi" w:cstheme="minorHAnsi"/>
          <w:color w:val="auto"/>
        </w:rPr>
        <w:t>notice should be given</w:t>
      </w:r>
      <w:r w:rsidR="002D28DA" w:rsidRPr="004B7667">
        <w:rPr>
          <w:rFonts w:asciiTheme="minorHAnsi" w:hAnsiTheme="minorHAnsi" w:cstheme="minorHAnsi"/>
          <w:color w:val="auto"/>
        </w:rPr>
        <w:t xml:space="preserve"> and repayment will be agreed upfront. </w:t>
      </w:r>
    </w:p>
    <w:p w14:paraId="1A7F59B5" w14:textId="77777777" w:rsidR="00810FFC" w:rsidRPr="004B7667" w:rsidRDefault="00810FFC" w:rsidP="00810FFC">
      <w:pPr>
        <w:ind w:left="720"/>
        <w:jc w:val="both"/>
        <w:rPr>
          <w:rFonts w:asciiTheme="minorHAnsi" w:hAnsiTheme="minorHAnsi" w:cstheme="minorHAnsi"/>
          <w:color w:val="auto"/>
        </w:rPr>
      </w:pPr>
    </w:p>
    <w:p w14:paraId="61C459D6" w14:textId="2B61AA6E" w:rsidR="00F16074" w:rsidRPr="004B7667" w:rsidRDefault="00C62FAF" w:rsidP="001F432B">
      <w:pPr>
        <w:ind w:left="720"/>
        <w:jc w:val="both"/>
        <w:rPr>
          <w:rFonts w:asciiTheme="minorHAnsi" w:hAnsiTheme="minorHAnsi" w:cstheme="minorHAnsi"/>
          <w:color w:val="auto"/>
        </w:rPr>
      </w:pPr>
      <w:r w:rsidRPr="004B7667">
        <w:rPr>
          <w:rFonts w:asciiTheme="minorHAnsi" w:hAnsiTheme="minorHAnsi" w:cstheme="minorHAnsi"/>
          <w:color w:val="auto"/>
        </w:rPr>
        <w:t>10.2</w:t>
      </w:r>
      <w:r w:rsidRPr="004B7667">
        <w:rPr>
          <w:rFonts w:asciiTheme="minorHAnsi" w:hAnsiTheme="minorHAnsi" w:cstheme="minorHAnsi"/>
          <w:color w:val="auto"/>
        </w:rPr>
        <w:tab/>
      </w:r>
      <w:proofErr w:type="spellStart"/>
      <w:r w:rsidR="00F16074" w:rsidRPr="004B7667">
        <w:rPr>
          <w:rFonts w:asciiTheme="minorHAnsi" w:hAnsiTheme="minorHAnsi" w:cstheme="minorHAnsi"/>
          <w:color w:val="auto"/>
        </w:rPr>
        <w:t>Amcol</w:t>
      </w:r>
      <w:proofErr w:type="spellEnd"/>
      <w:r w:rsidR="00F16074" w:rsidRPr="004B7667">
        <w:rPr>
          <w:rFonts w:asciiTheme="minorHAnsi" w:hAnsiTheme="minorHAnsi" w:cstheme="minorHAnsi"/>
          <w:color w:val="auto"/>
        </w:rPr>
        <w:t xml:space="preserve"> will retail working capital of £800,000.</w:t>
      </w:r>
    </w:p>
    <w:p w14:paraId="38D4D0C8" w14:textId="407C6E74" w:rsidR="001F432B" w:rsidRPr="004B7667" w:rsidRDefault="00062C99" w:rsidP="005F0A53">
      <w:pPr>
        <w:pStyle w:val="Heading1"/>
        <w:numPr>
          <w:ilvl w:val="0"/>
          <w:numId w:val="6"/>
        </w:numPr>
        <w:ind w:left="709" w:hanging="703"/>
        <w:jc w:val="both"/>
        <w:rPr>
          <w:rFonts w:asciiTheme="minorHAnsi" w:hAnsiTheme="minorHAnsi" w:cstheme="minorHAnsi"/>
          <w:color w:val="auto"/>
          <w:sz w:val="24"/>
          <w:szCs w:val="24"/>
        </w:rPr>
      </w:pPr>
      <w:bookmarkStart w:id="13" w:name="_Toc190338227"/>
      <w:r w:rsidRPr="004B7667">
        <w:rPr>
          <w:rFonts w:asciiTheme="minorHAnsi" w:hAnsiTheme="minorHAnsi" w:cstheme="minorHAnsi"/>
          <w:color w:val="auto"/>
          <w:sz w:val="24"/>
          <w:szCs w:val="24"/>
        </w:rPr>
        <w:t>L</w:t>
      </w:r>
      <w:r w:rsidR="001F432B" w:rsidRPr="004B7667">
        <w:rPr>
          <w:rFonts w:asciiTheme="minorHAnsi" w:hAnsiTheme="minorHAnsi" w:cstheme="minorHAnsi"/>
          <w:color w:val="auto"/>
          <w:sz w:val="24"/>
          <w:szCs w:val="24"/>
        </w:rPr>
        <w:t>inked Policies/Related Documents</w:t>
      </w:r>
      <w:bookmarkEnd w:id="13"/>
    </w:p>
    <w:p w14:paraId="575A56F5" w14:textId="77777777" w:rsidR="001F432B" w:rsidRPr="005F0A53" w:rsidRDefault="001F432B" w:rsidP="001F432B">
      <w:pPr>
        <w:jc w:val="both"/>
        <w:rPr>
          <w:rFonts w:asciiTheme="minorHAnsi" w:hAnsiTheme="minorHAnsi" w:cstheme="minorHAnsi"/>
          <w:color w:val="auto"/>
        </w:rPr>
      </w:pPr>
    </w:p>
    <w:p w14:paraId="4EA920DB" w14:textId="2FB268E5" w:rsidR="001F432B" w:rsidRPr="005F0A53" w:rsidRDefault="001F432B" w:rsidP="00C62FAF">
      <w:pPr>
        <w:pStyle w:val="ListParagraph"/>
        <w:numPr>
          <w:ilvl w:val="1"/>
          <w:numId w:val="6"/>
        </w:numPr>
        <w:jc w:val="both"/>
        <w:rPr>
          <w:rFonts w:asciiTheme="minorHAnsi" w:hAnsiTheme="minorHAnsi" w:cstheme="minorHAnsi"/>
          <w:color w:val="auto"/>
        </w:rPr>
      </w:pPr>
      <w:r w:rsidRPr="005F0A53">
        <w:rPr>
          <w:rFonts w:asciiTheme="minorHAnsi" w:hAnsiTheme="minorHAnsi" w:cstheme="minorHAnsi"/>
          <w:color w:val="auto"/>
        </w:rPr>
        <w:t>New College Lanarkshire Value for Money Policy.</w:t>
      </w:r>
    </w:p>
    <w:p w14:paraId="495E428E" w14:textId="2C351EA3" w:rsidR="001F432B" w:rsidRPr="005F0A53" w:rsidRDefault="001F432B" w:rsidP="005F0A53">
      <w:pPr>
        <w:pStyle w:val="Heading1"/>
        <w:numPr>
          <w:ilvl w:val="0"/>
          <w:numId w:val="6"/>
        </w:numPr>
        <w:jc w:val="both"/>
        <w:rPr>
          <w:rFonts w:asciiTheme="minorHAnsi" w:hAnsiTheme="minorHAnsi" w:cstheme="minorHAnsi"/>
          <w:color w:val="auto"/>
          <w:sz w:val="24"/>
          <w:szCs w:val="24"/>
        </w:rPr>
      </w:pPr>
      <w:bookmarkStart w:id="14" w:name="_Toc190338228"/>
      <w:r w:rsidRPr="005F0A53">
        <w:rPr>
          <w:rFonts w:asciiTheme="minorHAnsi" w:hAnsiTheme="minorHAnsi" w:cstheme="minorHAnsi"/>
          <w:color w:val="auto"/>
          <w:sz w:val="24"/>
          <w:szCs w:val="24"/>
        </w:rPr>
        <w:t>Relevant Legislation/Guidance</w:t>
      </w:r>
      <w:bookmarkEnd w:id="14"/>
    </w:p>
    <w:p w14:paraId="402C28FD" w14:textId="2729D647" w:rsidR="001F432B" w:rsidRPr="005F0A53" w:rsidRDefault="001F432B" w:rsidP="00BC16D5">
      <w:pPr>
        <w:ind w:left="0" w:firstLine="0"/>
        <w:jc w:val="both"/>
        <w:rPr>
          <w:rFonts w:asciiTheme="minorHAnsi" w:hAnsiTheme="minorHAnsi" w:cstheme="minorHAnsi"/>
          <w:color w:val="auto"/>
        </w:rPr>
      </w:pPr>
    </w:p>
    <w:p w14:paraId="792D3EDC" w14:textId="0813BF04" w:rsidR="001F432B" w:rsidRPr="005F0A53" w:rsidRDefault="001F432B" w:rsidP="001F432B">
      <w:pPr>
        <w:pStyle w:val="ListParagraph"/>
        <w:jc w:val="both"/>
        <w:rPr>
          <w:rFonts w:asciiTheme="minorHAnsi" w:hAnsiTheme="minorHAnsi" w:cstheme="minorHAnsi"/>
          <w:color w:val="auto"/>
        </w:rPr>
      </w:pPr>
      <w:r w:rsidRPr="005F0A53">
        <w:rPr>
          <w:rFonts w:asciiTheme="minorHAnsi" w:hAnsiTheme="minorHAnsi" w:cstheme="minorHAnsi"/>
          <w:color w:val="auto"/>
        </w:rPr>
        <w:t>1</w:t>
      </w:r>
      <w:r w:rsidR="00C62FAF" w:rsidRPr="005F0A53">
        <w:rPr>
          <w:rFonts w:asciiTheme="minorHAnsi" w:hAnsiTheme="minorHAnsi" w:cstheme="minorHAnsi"/>
          <w:color w:val="auto"/>
        </w:rPr>
        <w:t>2</w:t>
      </w:r>
      <w:r w:rsidRPr="005F0A53">
        <w:rPr>
          <w:rFonts w:asciiTheme="minorHAnsi" w:hAnsiTheme="minorHAnsi" w:cstheme="minorHAnsi"/>
          <w:color w:val="auto"/>
        </w:rPr>
        <w:t>.1</w:t>
      </w:r>
      <w:r w:rsidRPr="005F0A53">
        <w:rPr>
          <w:rFonts w:asciiTheme="minorHAnsi" w:hAnsiTheme="minorHAnsi" w:cstheme="minorHAnsi"/>
          <w:color w:val="auto"/>
        </w:rPr>
        <w:tab/>
        <w:t>Scottish Funding Council - National Policy: Childcare funds for further and higher education students in Scotland’s Colleges.</w:t>
      </w:r>
    </w:p>
    <w:p w14:paraId="1842A195" w14:textId="4FE7F903" w:rsidR="001F432B" w:rsidRPr="005F0A53" w:rsidRDefault="00C62FAF" w:rsidP="00C62FAF">
      <w:pPr>
        <w:pStyle w:val="ListParagraph"/>
        <w:jc w:val="both"/>
        <w:rPr>
          <w:rFonts w:asciiTheme="minorHAnsi" w:hAnsiTheme="minorHAnsi" w:cstheme="minorHAnsi"/>
          <w:color w:val="auto"/>
        </w:rPr>
      </w:pPr>
      <w:r w:rsidRPr="005F0A53">
        <w:rPr>
          <w:rFonts w:asciiTheme="minorHAnsi" w:hAnsiTheme="minorHAnsi" w:cstheme="minorHAnsi"/>
          <w:color w:val="auto"/>
        </w:rPr>
        <w:t>12.2</w:t>
      </w:r>
      <w:r w:rsidRPr="005F0A53">
        <w:rPr>
          <w:rFonts w:asciiTheme="minorHAnsi" w:hAnsiTheme="minorHAnsi" w:cstheme="minorHAnsi"/>
          <w:color w:val="auto"/>
        </w:rPr>
        <w:tab/>
      </w:r>
      <w:r w:rsidR="001F432B" w:rsidRPr="005F0A53">
        <w:rPr>
          <w:rFonts w:asciiTheme="minorHAnsi" w:hAnsiTheme="minorHAnsi" w:cstheme="minorHAnsi"/>
          <w:color w:val="auto"/>
        </w:rPr>
        <w:t>Student Awards Agency for Scotland: Higher Education Undergraduate and    Postgraduate Discretionary Funds Guidance</w:t>
      </w:r>
      <w:r w:rsidRPr="005F0A53">
        <w:rPr>
          <w:rFonts w:asciiTheme="minorHAnsi" w:hAnsiTheme="minorHAnsi" w:cstheme="minorHAnsi"/>
          <w:color w:val="auto"/>
        </w:rPr>
        <w:t>.</w:t>
      </w:r>
    </w:p>
    <w:p w14:paraId="4F3D9337" w14:textId="77777777" w:rsidR="001F432B" w:rsidRPr="005F0A53" w:rsidRDefault="001F432B" w:rsidP="001F432B">
      <w:pPr>
        <w:pStyle w:val="ListParagraph"/>
        <w:autoSpaceDE w:val="0"/>
        <w:autoSpaceDN w:val="0"/>
        <w:adjustRightInd w:val="0"/>
        <w:ind w:firstLine="0"/>
        <w:rPr>
          <w:rFonts w:asciiTheme="minorHAnsi" w:hAnsiTheme="minorHAnsi" w:cstheme="minorHAnsi"/>
          <w:color w:val="auto"/>
        </w:rPr>
      </w:pPr>
    </w:p>
    <w:p w14:paraId="084586C4" w14:textId="63F6F5AE" w:rsidR="001F432B" w:rsidRPr="005F0A53" w:rsidRDefault="001F432B" w:rsidP="00C62FAF">
      <w:pPr>
        <w:pStyle w:val="ListParagraph"/>
        <w:numPr>
          <w:ilvl w:val="1"/>
          <w:numId w:val="9"/>
        </w:numPr>
        <w:autoSpaceDE w:val="0"/>
        <w:autoSpaceDN w:val="0"/>
        <w:adjustRightInd w:val="0"/>
        <w:rPr>
          <w:rFonts w:asciiTheme="minorHAnsi" w:hAnsiTheme="minorHAnsi" w:cstheme="minorHAnsi"/>
          <w:color w:val="auto"/>
        </w:rPr>
      </w:pPr>
      <w:r w:rsidRPr="005F0A53">
        <w:rPr>
          <w:rFonts w:asciiTheme="minorHAnsi" w:hAnsiTheme="minorHAnsi" w:cstheme="minorHAnsi"/>
          <w:color w:val="auto"/>
        </w:rPr>
        <w:t>Scottish Funding Council: National Policy for Further Education Bursaries</w:t>
      </w:r>
    </w:p>
    <w:p w14:paraId="6E4FC240" w14:textId="77777777" w:rsidR="001F432B" w:rsidRPr="005F0A53" w:rsidRDefault="001F432B" w:rsidP="001F432B">
      <w:pPr>
        <w:pStyle w:val="ListParagraph"/>
        <w:autoSpaceDE w:val="0"/>
        <w:autoSpaceDN w:val="0"/>
        <w:adjustRightInd w:val="0"/>
        <w:ind w:left="420" w:firstLine="0"/>
        <w:rPr>
          <w:rFonts w:asciiTheme="minorHAnsi" w:hAnsiTheme="minorHAnsi" w:cstheme="minorHAnsi"/>
          <w:color w:val="auto"/>
        </w:rPr>
      </w:pPr>
    </w:p>
    <w:p w14:paraId="04DC022C" w14:textId="4EF989AE" w:rsidR="001F432B" w:rsidRPr="005F0A53" w:rsidRDefault="001F432B" w:rsidP="00C62FAF">
      <w:pPr>
        <w:pStyle w:val="ListParagraph"/>
        <w:numPr>
          <w:ilvl w:val="1"/>
          <w:numId w:val="9"/>
        </w:numPr>
        <w:jc w:val="both"/>
        <w:rPr>
          <w:rFonts w:asciiTheme="minorHAnsi" w:hAnsiTheme="minorHAnsi" w:cstheme="minorHAnsi"/>
          <w:color w:val="auto"/>
        </w:rPr>
      </w:pPr>
      <w:r w:rsidRPr="005F0A53">
        <w:rPr>
          <w:rFonts w:asciiTheme="minorHAnsi" w:hAnsiTheme="minorHAnsi" w:cstheme="minorHAnsi"/>
          <w:color w:val="auto"/>
        </w:rPr>
        <w:t>Scottish Public Finance Manual</w:t>
      </w:r>
    </w:p>
    <w:p w14:paraId="074BFB46" w14:textId="77777777" w:rsidR="001F432B" w:rsidRPr="005F0A53" w:rsidRDefault="001F432B" w:rsidP="001F432B">
      <w:pPr>
        <w:pStyle w:val="ListParagraph"/>
        <w:rPr>
          <w:rFonts w:asciiTheme="minorHAnsi" w:hAnsiTheme="minorHAnsi" w:cstheme="minorHAnsi"/>
          <w:color w:val="auto"/>
        </w:rPr>
      </w:pPr>
    </w:p>
    <w:p w14:paraId="08F36322" w14:textId="77777777" w:rsidR="001F432B" w:rsidRPr="005F0A53" w:rsidRDefault="001F432B" w:rsidP="00C62FAF">
      <w:pPr>
        <w:pStyle w:val="ListParagraph"/>
        <w:numPr>
          <w:ilvl w:val="1"/>
          <w:numId w:val="9"/>
        </w:numPr>
        <w:jc w:val="both"/>
        <w:rPr>
          <w:rFonts w:asciiTheme="minorHAnsi" w:hAnsiTheme="minorHAnsi" w:cstheme="minorHAnsi"/>
          <w:color w:val="auto"/>
        </w:rPr>
      </w:pPr>
      <w:r w:rsidRPr="005F0A53">
        <w:rPr>
          <w:rFonts w:asciiTheme="minorHAnsi" w:hAnsiTheme="minorHAnsi" w:cstheme="minorHAnsi"/>
          <w:color w:val="auto"/>
        </w:rPr>
        <w:t>APUC Framework</w:t>
      </w:r>
    </w:p>
    <w:p w14:paraId="7C2EB364" w14:textId="77777777" w:rsidR="001F432B" w:rsidRPr="005F0A53" w:rsidRDefault="001F432B" w:rsidP="001F432B">
      <w:pPr>
        <w:pStyle w:val="ListParagraph"/>
        <w:rPr>
          <w:rFonts w:asciiTheme="minorHAnsi" w:hAnsiTheme="minorHAnsi" w:cstheme="minorHAnsi"/>
          <w:color w:val="auto"/>
        </w:rPr>
      </w:pPr>
    </w:p>
    <w:p w14:paraId="26A4EB55" w14:textId="77777777" w:rsidR="001F432B" w:rsidRPr="005F0A53" w:rsidRDefault="001F432B" w:rsidP="00C62FAF">
      <w:pPr>
        <w:pStyle w:val="ListParagraph"/>
        <w:numPr>
          <w:ilvl w:val="1"/>
          <w:numId w:val="9"/>
        </w:numPr>
        <w:jc w:val="both"/>
        <w:rPr>
          <w:rFonts w:asciiTheme="minorHAnsi" w:hAnsiTheme="minorHAnsi" w:cstheme="minorHAnsi"/>
          <w:color w:val="auto"/>
        </w:rPr>
      </w:pPr>
      <w:r w:rsidRPr="005F0A53">
        <w:rPr>
          <w:rFonts w:asciiTheme="minorHAnsi" w:hAnsiTheme="minorHAnsi" w:cstheme="minorHAnsi"/>
          <w:color w:val="auto"/>
        </w:rPr>
        <w:t>Money Laundering Regulations</w:t>
      </w:r>
    </w:p>
    <w:p w14:paraId="1FE4D3DA" w14:textId="77777777" w:rsidR="001F432B" w:rsidRPr="005F0A53" w:rsidRDefault="001F432B" w:rsidP="001F432B">
      <w:pPr>
        <w:pStyle w:val="ListParagraph"/>
        <w:rPr>
          <w:rFonts w:asciiTheme="minorHAnsi" w:hAnsiTheme="minorHAnsi" w:cstheme="minorHAnsi"/>
          <w:color w:val="auto"/>
        </w:rPr>
      </w:pPr>
    </w:p>
    <w:p w14:paraId="28A01FF9" w14:textId="77777777" w:rsidR="001F432B" w:rsidRPr="005F0A53" w:rsidRDefault="001F432B" w:rsidP="00C62FAF">
      <w:pPr>
        <w:pStyle w:val="ListParagraph"/>
        <w:numPr>
          <w:ilvl w:val="1"/>
          <w:numId w:val="9"/>
        </w:numPr>
        <w:jc w:val="both"/>
        <w:rPr>
          <w:rFonts w:asciiTheme="minorHAnsi" w:hAnsiTheme="minorHAnsi" w:cstheme="minorHAnsi"/>
          <w:color w:val="auto"/>
        </w:rPr>
      </w:pPr>
      <w:r w:rsidRPr="005F0A53">
        <w:rPr>
          <w:rFonts w:asciiTheme="minorHAnsi" w:hAnsiTheme="minorHAnsi" w:cstheme="minorHAnsi"/>
          <w:color w:val="auto"/>
        </w:rPr>
        <w:t>Any other relevant Legislation / Guidance</w:t>
      </w:r>
    </w:p>
    <w:p w14:paraId="2DEB7ABF" w14:textId="5CCE0D21" w:rsidR="001F432B" w:rsidRPr="005F0A53" w:rsidRDefault="001F432B" w:rsidP="005F0A53">
      <w:pPr>
        <w:pStyle w:val="Heading1"/>
        <w:numPr>
          <w:ilvl w:val="0"/>
          <w:numId w:val="9"/>
        </w:numPr>
        <w:jc w:val="both"/>
        <w:rPr>
          <w:rFonts w:asciiTheme="minorHAnsi" w:hAnsiTheme="minorHAnsi" w:cstheme="minorHAnsi"/>
          <w:color w:val="auto"/>
          <w:sz w:val="24"/>
          <w:szCs w:val="24"/>
        </w:rPr>
      </w:pPr>
      <w:bookmarkStart w:id="15" w:name="_Toc190338229"/>
      <w:r w:rsidRPr="005F0A53">
        <w:rPr>
          <w:rFonts w:asciiTheme="minorHAnsi" w:hAnsiTheme="minorHAnsi" w:cstheme="minorHAnsi"/>
          <w:color w:val="auto"/>
          <w:sz w:val="24"/>
          <w:szCs w:val="24"/>
        </w:rPr>
        <w:t>Version Control</w:t>
      </w:r>
      <w:bookmarkEnd w:id="15"/>
    </w:p>
    <w:p w14:paraId="3DD0C59B" w14:textId="77777777" w:rsidR="001F432B" w:rsidRPr="005F0A53" w:rsidRDefault="001F432B" w:rsidP="001F432B">
      <w:pPr>
        <w:pStyle w:val="BodyText"/>
        <w:rPr>
          <w:rFonts w:asciiTheme="minorHAnsi" w:hAnsiTheme="minorHAnsi" w:cstheme="minorHAns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641"/>
        <w:gridCol w:w="5704"/>
      </w:tblGrid>
      <w:tr w:rsidR="001F432B" w:rsidRPr="005F0A53" w14:paraId="1CAF7674" w14:textId="77777777" w:rsidTr="007938FF">
        <w:tc>
          <w:tcPr>
            <w:tcW w:w="958" w:type="dxa"/>
          </w:tcPr>
          <w:p w14:paraId="0D39AB72" w14:textId="77777777" w:rsidR="001F432B" w:rsidRPr="005F0A53" w:rsidRDefault="001F432B" w:rsidP="007938FF">
            <w:pPr>
              <w:pStyle w:val="BodyText"/>
              <w:jc w:val="center"/>
              <w:rPr>
                <w:rFonts w:asciiTheme="minorHAnsi" w:hAnsiTheme="minorHAnsi" w:cstheme="minorHAnsi"/>
                <w:b/>
                <w:sz w:val="24"/>
                <w:szCs w:val="24"/>
              </w:rPr>
            </w:pPr>
            <w:r w:rsidRPr="005F0A53">
              <w:rPr>
                <w:rFonts w:asciiTheme="minorHAnsi" w:hAnsiTheme="minorHAnsi" w:cstheme="minorHAnsi"/>
                <w:b/>
                <w:sz w:val="24"/>
                <w:szCs w:val="24"/>
              </w:rPr>
              <w:t>Version</w:t>
            </w:r>
          </w:p>
        </w:tc>
        <w:tc>
          <w:tcPr>
            <w:tcW w:w="2646" w:type="dxa"/>
            <w:shd w:val="clear" w:color="auto" w:fill="auto"/>
          </w:tcPr>
          <w:p w14:paraId="7872E99C" w14:textId="77777777" w:rsidR="001F432B" w:rsidRPr="005F0A53" w:rsidRDefault="001F432B" w:rsidP="007938FF">
            <w:pPr>
              <w:pStyle w:val="BodyText"/>
              <w:jc w:val="center"/>
              <w:rPr>
                <w:rFonts w:asciiTheme="minorHAnsi" w:hAnsiTheme="minorHAnsi" w:cstheme="minorHAnsi"/>
                <w:b/>
                <w:sz w:val="24"/>
                <w:szCs w:val="24"/>
              </w:rPr>
            </w:pPr>
            <w:r w:rsidRPr="005F0A53">
              <w:rPr>
                <w:rFonts w:asciiTheme="minorHAnsi" w:hAnsiTheme="minorHAnsi" w:cstheme="minorHAnsi"/>
                <w:b/>
                <w:sz w:val="24"/>
                <w:szCs w:val="24"/>
              </w:rPr>
              <w:t>Version date</w:t>
            </w:r>
          </w:p>
        </w:tc>
        <w:tc>
          <w:tcPr>
            <w:tcW w:w="5718" w:type="dxa"/>
            <w:shd w:val="clear" w:color="auto" w:fill="auto"/>
          </w:tcPr>
          <w:p w14:paraId="6B790486" w14:textId="77777777" w:rsidR="001F432B" w:rsidRPr="005F0A53" w:rsidRDefault="001F432B" w:rsidP="007938FF">
            <w:pPr>
              <w:pStyle w:val="BodyText"/>
              <w:jc w:val="left"/>
              <w:rPr>
                <w:rFonts w:asciiTheme="minorHAnsi" w:hAnsiTheme="minorHAnsi" w:cstheme="minorHAnsi"/>
                <w:b/>
                <w:sz w:val="24"/>
                <w:szCs w:val="24"/>
              </w:rPr>
            </w:pPr>
            <w:r w:rsidRPr="005F0A53">
              <w:rPr>
                <w:rFonts w:asciiTheme="minorHAnsi" w:hAnsiTheme="minorHAnsi" w:cstheme="minorHAnsi"/>
                <w:b/>
                <w:sz w:val="24"/>
                <w:szCs w:val="24"/>
              </w:rPr>
              <w:t>Sections updated</w:t>
            </w:r>
          </w:p>
        </w:tc>
      </w:tr>
      <w:tr w:rsidR="001F432B" w:rsidRPr="005F0A53" w14:paraId="0DB358A4" w14:textId="77777777" w:rsidTr="007938FF">
        <w:tc>
          <w:tcPr>
            <w:tcW w:w="958" w:type="dxa"/>
          </w:tcPr>
          <w:p w14:paraId="125FF7AA" w14:textId="77777777" w:rsidR="001F432B" w:rsidRPr="005F0A53" w:rsidRDefault="001F432B"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V1</w:t>
            </w:r>
          </w:p>
        </w:tc>
        <w:tc>
          <w:tcPr>
            <w:tcW w:w="2646" w:type="dxa"/>
            <w:shd w:val="clear" w:color="auto" w:fill="auto"/>
          </w:tcPr>
          <w:p w14:paraId="06ACFF17" w14:textId="77777777" w:rsidR="001F432B" w:rsidRPr="005F0A53" w:rsidRDefault="001F432B"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Aug 2014</w:t>
            </w:r>
          </w:p>
        </w:tc>
        <w:tc>
          <w:tcPr>
            <w:tcW w:w="5718" w:type="dxa"/>
            <w:shd w:val="clear" w:color="auto" w:fill="auto"/>
          </w:tcPr>
          <w:p w14:paraId="35C2D006" w14:textId="77777777" w:rsidR="001F432B" w:rsidRPr="005F0A53" w:rsidRDefault="001F432B" w:rsidP="007938FF">
            <w:pPr>
              <w:pStyle w:val="BodyText"/>
              <w:jc w:val="left"/>
              <w:rPr>
                <w:rFonts w:asciiTheme="minorHAnsi" w:hAnsiTheme="minorHAnsi" w:cstheme="minorHAnsi"/>
                <w:sz w:val="24"/>
                <w:szCs w:val="24"/>
              </w:rPr>
            </w:pPr>
            <w:r w:rsidRPr="005F0A53">
              <w:rPr>
                <w:rFonts w:asciiTheme="minorHAnsi" w:hAnsiTheme="minorHAnsi" w:cstheme="minorHAnsi"/>
                <w:sz w:val="24"/>
                <w:szCs w:val="24"/>
              </w:rPr>
              <w:t>Original version of document</w:t>
            </w:r>
          </w:p>
        </w:tc>
      </w:tr>
      <w:tr w:rsidR="00BC16D5" w:rsidRPr="005F0A53" w14:paraId="6A4B6536" w14:textId="77777777" w:rsidTr="007938FF">
        <w:tc>
          <w:tcPr>
            <w:tcW w:w="958" w:type="dxa"/>
          </w:tcPr>
          <w:p w14:paraId="345C329E" w14:textId="2711BE35" w:rsidR="00BC16D5" w:rsidRPr="005F0A53" w:rsidRDefault="00BC16D5"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V2</w:t>
            </w:r>
          </w:p>
        </w:tc>
        <w:tc>
          <w:tcPr>
            <w:tcW w:w="2646" w:type="dxa"/>
            <w:shd w:val="clear" w:color="auto" w:fill="auto"/>
          </w:tcPr>
          <w:p w14:paraId="500EA33A" w14:textId="29FFF08B" w:rsidR="00BC16D5" w:rsidRPr="005F0A53" w:rsidRDefault="00BC16D5"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June 2018</w:t>
            </w:r>
          </w:p>
        </w:tc>
        <w:tc>
          <w:tcPr>
            <w:tcW w:w="5718" w:type="dxa"/>
            <w:shd w:val="clear" w:color="auto" w:fill="auto"/>
          </w:tcPr>
          <w:p w14:paraId="5C98BB04" w14:textId="730E4944" w:rsidR="00BC16D5" w:rsidRPr="005F0A53" w:rsidRDefault="00BC16D5" w:rsidP="007938FF">
            <w:pPr>
              <w:pStyle w:val="BodyText"/>
              <w:jc w:val="left"/>
              <w:rPr>
                <w:rFonts w:asciiTheme="minorHAnsi" w:hAnsiTheme="minorHAnsi" w:cstheme="minorHAnsi"/>
                <w:sz w:val="24"/>
                <w:szCs w:val="24"/>
              </w:rPr>
            </w:pPr>
            <w:r w:rsidRPr="005F0A53">
              <w:rPr>
                <w:rFonts w:asciiTheme="minorHAnsi" w:hAnsiTheme="minorHAnsi" w:cstheme="minorHAnsi"/>
                <w:sz w:val="24"/>
                <w:szCs w:val="24"/>
              </w:rPr>
              <w:t>Reviewed, no change</w:t>
            </w:r>
          </w:p>
        </w:tc>
      </w:tr>
      <w:tr w:rsidR="00BC16D5" w:rsidRPr="005F0A53" w14:paraId="35CC8A52" w14:textId="77777777" w:rsidTr="007938FF">
        <w:tc>
          <w:tcPr>
            <w:tcW w:w="958" w:type="dxa"/>
          </w:tcPr>
          <w:p w14:paraId="6976C3DF" w14:textId="0E7048DA" w:rsidR="00BC16D5" w:rsidRPr="005F0A53" w:rsidRDefault="00BC16D5"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V3</w:t>
            </w:r>
          </w:p>
        </w:tc>
        <w:tc>
          <w:tcPr>
            <w:tcW w:w="2646" w:type="dxa"/>
            <w:shd w:val="clear" w:color="auto" w:fill="auto"/>
          </w:tcPr>
          <w:p w14:paraId="0C453A80" w14:textId="4139C3CA" w:rsidR="00BC16D5" w:rsidRPr="005F0A53" w:rsidRDefault="00BC16D5" w:rsidP="007938FF">
            <w:pPr>
              <w:pStyle w:val="BodyText"/>
              <w:jc w:val="center"/>
              <w:rPr>
                <w:rFonts w:asciiTheme="minorHAnsi" w:hAnsiTheme="minorHAnsi" w:cstheme="minorHAnsi"/>
                <w:sz w:val="24"/>
                <w:szCs w:val="24"/>
              </w:rPr>
            </w:pPr>
            <w:r w:rsidRPr="005F0A53">
              <w:rPr>
                <w:rFonts w:asciiTheme="minorHAnsi" w:hAnsiTheme="minorHAnsi" w:cstheme="minorHAnsi"/>
                <w:sz w:val="24"/>
                <w:szCs w:val="24"/>
              </w:rPr>
              <w:t>December 2021</w:t>
            </w:r>
          </w:p>
        </w:tc>
        <w:tc>
          <w:tcPr>
            <w:tcW w:w="5718" w:type="dxa"/>
            <w:shd w:val="clear" w:color="auto" w:fill="auto"/>
          </w:tcPr>
          <w:p w14:paraId="56E1F6F9" w14:textId="376E889B" w:rsidR="00BC16D5" w:rsidRPr="005F0A53" w:rsidRDefault="00BC16D5" w:rsidP="007938FF">
            <w:pPr>
              <w:pStyle w:val="BodyText"/>
              <w:jc w:val="left"/>
              <w:rPr>
                <w:rFonts w:asciiTheme="minorHAnsi" w:hAnsiTheme="minorHAnsi" w:cstheme="minorHAnsi"/>
                <w:sz w:val="24"/>
                <w:szCs w:val="24"/>
              </w:rPr>
            </w:pPr>
            <w:r w:rsidRPr="005F0A53">
              <w:rPr>
                <w:rFonts w:asciiTheme="minorHAnsi" w:hAnsiTheme="minorHAnsi" w:cstheme="minorHAnsi"/>
                <w:sz w:val="24"/>
                <w:szCs w:val="24"/>
              </w:rPr>
              <w:t>Updated brand logo. Chief Financial Officer and Financial Controller</w:t>
            </w:r>
          </w:p>
        </w:tc>
      </w:tr>
      <w:tr w:rsidR="00BC16D5" w:rsidRPr="005F0A53" w14:paraId="115C114D" w14:textId="77777777" w:rsidTr="007938FF">
        <w:tc>
          <w:tcPr>
            <w:tcW w:w="958" w:type="dxa"/>
          </w:tcPr>
          <w:p w14:paraId="27848AEA" w14:textId="69371C68" w:rsidR="00BC16D5" w:rsidRPr="005F0A53" w:rsidRDefault="00BC16D5" w:rsidP="00BC16D5">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V4</w:t>
            </w:r>
          </w:p>
        </w:tc>
        <w:tc>
          <w:tcPr>
            <w:tcW w:w="2646" w:type="dxa"/>
            <w:shd w:val="clear" w:color="auto" w:fill="auto"/>
          </w:tcPr>
          <w:p w14:paraId="22D20548" w14:textId="61170410" w:rsidR="00BC16D5" w:rsidRPr="005F0A53" w:rsidRDefault="00BC16D5" w:rsidP="00BC16D5">
            <w:pPr>
              <w:pStyle w:val="BodyText"/>
              <w:jc w:val="center"/>
              <w:rPr>
                <w:rFonts w:asciiTheme="minorHAnsi" w:hAnsiTheme="minorHAnsi" w:cstheme="minorHAnsi"/>
                <w:sz w:val="24"/>
                <w:szCs w:val="24"/>
              </w:rPr>
            </w:pPr>
            <w:r w:rsidRPr="005F0A53">
              <w:rPr>
                <w:rFonts w:asciiTheme="minorHAnsi" w:hAnsiTheme="minorHAnsi" w:cstheme="minorHAnsi"/>
                <w:sz w:val="24"/>
                <w:szCs w:val="24"/>
              </w:rPr>
              <w:t>February 2022</w:t>
            </w:r>
          </w:p>
        </w:tc>
        <w:tc>
          <w:tcPr>
            <w:tcW w:w="5718" w:type="dxa"/>
            <w:shd w:val="clear" w:color="auto" w:fill="auto"/>
          </w:tcPr>
          <w:p w14:paraId="6E215F90" w14:textId="6CBBC08A" w:rsidR="00BC16D5" w:rsidRPr="005F0A53" w:rsidRDefault="00BC16D5" w:rsidP="00BC16D5">
            <w:pPr>
              <w:pStyle w:val="BodyText"/>
              <w:jc w:val="left"/>
              <w:rPr>
                <w:rFonts w:asciiTheme="minorHAnsi" w:hAnsiTheme="minorHAnsi" w:cstheme="minorHAnsi"/>
                <w:sz w:val="24"/>
                <w:szCs w:val="24"/>
              </w:rPr>
            </w:pPr>
            <w:r w:rsidRPr="005F0A53">
              <w:rPr>
                <w:rFonts w:asciiTheme="minorHAnsi" w:hAnsiTheme="minorHAnsi" w:cstheme="minorHAnsi"/>
                <w:sz w:val="24"/>
                <w:szCs w:val="24"/>
              </w:rPr>
              <w:t>Updated document for relevant legislation</w:t>
            </w:r>
          </w:p>
        </w:tc>
      </w:tr>
      <w:tr w:rsidR="00BF223F" w:rsidRPr="005F0A53" w14:paraId="29A16F0B" w14:textId="77777777" w:rsidTr="007938FF">
        <w:tc>
          <w:tcPr>
            <w:tcW w:w="958" w:type="dxa"/>
          </w:tcPr>
          <w:p w14:paraId="0CE93042" w14:textId="1A4DB7F7" w:rsidR="00BF223F" w:rsidRPr="005F0A53" w:rsidRDefault="00572993" w:rsidP="00BC16D5">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V5</w:t>
            </w:r>
          </w:p>
        </w:tc>
        <w:tc>
          <w:tcPr>
            <w:tcW w:w="2646" w:type="dxa"/>
            <w:shd w:val="clear" w:color="auto" w:fill="auto"/>
          </w:tcPr>
          <w:p w14:paraId="68ED01E8" w14:textId="704AC509" w:rsidR="002B42DC" w:rsidRPr="005F0A53" w:rsidRDefault="002B42DC" w:rsidP="002B42DC">
            <w:pPr>
              <w:pStyle w:val="BodyText"/>
              <w:jc w:val="center"/>
              <w:rPr>
                <w:rFonts w:asciiTheme="minorHAnsi" w:hAnsiTheme="minorHAnsi" w:cstheme="minorHAnsi"/>
                <w:sz w:val="24"/>
                <w:szCs w:val="24"/>
              </w:rPr>
            </w:pPr>
            <w:r w:rsidRPr="005F0A53">
              <w:rPr>
                <w:rFonts w:asciiTheme="minorHAnsi" w:hAnsiTheme="minorHAnsi" w:cstheme="minorHAnsi"/>
                <w:sz w:val="24"/>
                <w:szCs w:val="24"/>
              </w:rPr>
              <w:t>January 2023</w:t>
            </w:r>
          </w:p>
        </w:tc>
        <w:tc>
          <w:tcPr>
            <w:tcW w:w="5718" w:type="dxa"/>
            <w:shd w:val="clear" w:color="auto" w:fill="auto"/>
          </w:tcPr>
          <w:p w14:paraId="676F0861" w14:textId="67238D3F" w:rsidR="00BF223F" w:rsidRPr="005F0A53" w:rsidRDefault="002B42DC" w:rsidP="00BC16D5">
            <w:pPr>
              <w:pStyle w:val="BodyText"/>
              <w:jc w:val="left"/>
              <w:rPr>
                <w:rFonts w:asciiTheme="minorHAnsi" w:hAnsiTheme="minorHAnsi" w:cstheme="minorHAnsi"/>
                <w:sz w:val="24"/>
                <w:szCs w:val="24"/>
              </w:rPr>
            </w:pPr>
            <w:r w:rsidRPr="005F0A53">
              <w:rPr>
                <w:rFonts w:asciiTheme="minorHAnsi" w:hAnsiTheme="minorHAnsi" w:cstheme="minorHAnsi"/>
                <w:sz w:val="24"/>
                <w:szCs w:val="24"/>
              </w:rPr>
              <w:t>Reviewed, no change.</w:t>
            </w:r>
          </w:p>
        </w:tc>
      </w:tr>
      <w:tr w:rsidR="00E30F6A" w:rsidRPr="005F0A53" w14:paraId="6454E7B0" w14:textId="77777777" w:rsidTr="007938FF">
        <w:tc>
          <w:tcPr>
            <w:tcW w:w="958" w:type="dxa"/>
          </w:tcPr>
          <w:p w14:paraId="3AF047D6" w14:textId="1EB7B70C" w:rsidR="00E30F6A" w:rsidRPr="005F0A53" w:rsidRDefault="00E30F6A" w:rsidP="00BC16D5">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V6</w:t>
            </w:r>
          </w:p>
        </w:tc>
        <w:tc>
          <w:tcPr>
            <w:tcW w:w="2646" w:type="dxa"/>
            <w:shd w:val="clear" w:color="auto" w:fill="auto"/>
          </w:tcPr>
          <w:p w14:paraId="2F00B8C1" w14:textId="67C135DE" w:rsidR="00E30F6A" w:rsidRPr="005F0A53" w:rsidRDefault="00E30F6A" w:rsidP="002B42DC">
            <w:pPr>
              <w:pStyle w:val="BodyText"/>
              <w:jc w:val="center"/>
              <w:rPr>
                <w:rFonts w:asciiTheme="minorHAnsi" w:hAnsiTheme="minorHAnsi" w:cstheme="minorHAnsi"/>
                <w:sz w:val="24"/>
                <w:szCs w:val="24"/>
              </w:rPr>
            </w:pPr>
            <w:r w:rsidRPr="005F0A53">
              <w:rPr>
                <w:rFonts w:asciiTheme="minorHAnsi" w:hAnsiTheme="minorHAnsi" w:cstheme="minorHAnsi"/>
                <w:sz w:val="24"/>
                <w:szCs w:val="24"/>
              </w:rPr>
              <w:t>February 2024</w:t>
            </w:r>
          </w:p>
        </w:tc>
        <w:tc>
          <w:tcPr>
            <w:tcW w:w="5718" w:type="dxa"/>
            <w:shd w:val="clear" w:color="auto" w:fill="auto"/>
          </w:tcPr>
          <w:p w14:paraId="49BCA00D" w14:textId="1F0DD19E" w:rsidR="00E30F6A" w:rsidRPr="005F0A53" w:rsidRDefault="00E30F6A" w:rsidP="00BC16D5">
            <w:pPr>
              <w:pStyle w:val="BodyText"/>
              <w:jc w:val="left"/>
              <w:rPr>
                <w:rFonts w:asciiTheme="minorHAnsi" w:hAnsiTheme="minorHAnsi" w:cstheme="minorHAnsi"/>
                <w:sz w:val="24"/>
                <w:szCs w:val="24"/>
              </w:rPr>
            </w:pPr>
            <w:r w:rsidRPr="005F0A53">
              <w:rPr>
                <w:rFonts w:asciiTheme="minorHAnsi" w:hAnsiTheme="minorHAnsi" w:cstheme="minorHAnsi"/>
                <w:sz w:val="24"/>
                <w:szCs w:val="24"/>
              </w:rPr>
              <w:t xml:space="preserve">Chief Resources Officer replaces Chief Financial Officer </w:t>
            </w:r>
          </w:p>
        </w:tc>
      </w:tr>
      <w:tr w:rsidR="001134AD" w:rsidRPr="005F0A53" w14:paraId="198538A3" w14:textId="77777777" w:rsidTr="007938FF">
        <w:tc>
          <w:tcPr>
            <w:tcW w:w="958" w:type="dxa"/>
          </w:tcPr>
          <w:p w14:paraId="31AD24F3" w14:textId="25ED74A1" w:rsidR="001134AD" w:rsidRPr="005F0A53" w:rsidRDefault="001134AD" w:rsidP="00BC16D5">
            <w:pPr>
              <w:pStyle w:val="BodyText"/>
              <w:jc w:val="center"/>
              <w:rPr>
                <w:rFonts w:asciiTheme="minorHAnsi" w:hAnsiTheme="minorHAnsi" w:cstheme="minorHAnsi"/>
                <w:sz w:val="24"/>
                <w:szCs w:val="24"/>
              </w:rPr>
            </w:pPr>
            <w:r w:rsidRPr="005F0A53">
              <w:rPr>
                <w:rFonts w:asciiTheme="minorHAnsi" w:hAnsiTheme="minorHAnsi" w:cstheme="minorHAnsi"/>
                <w:sz w:val="24"/>
                <w:szCs w:val="24"/>
              </w:rPr>
              <w:t>V7</w:t>
            </w:r>
          </w:p>
        </w:tc>
        <w:tc>
          <w:tcPr>
            <w:tcW w:w="2646" w:type="dxa"/>
            <w:shd w:val="clear" w:color="auto" w:fill="auto"/>
          </w:tcPr>
          <w:p w14:paraId="5A6F3B31" w14:textId="72C91E10" w:rsidR="001134AD" w:rsidRPr="005F0A53" w:rsidRDefault="001134AD" w:rsidP="002B42DC">
            <w:pPr>
              <w:pStyle w:val="BodyText"/>
              <w:jc w:val="center"/>
              <w:rPr>
                <w:rFonts w:asciiTheme="minorHAnsi" w:hAnsiTheme="minorHAnsi" w:cstheme="minorHAnsi"/>
                <w:sz w:val="24"/>
                <w:szCs w:val="24"/>
              </w:rPr>
            </w:pPr>
            <w:r w:rsidRPr="005F0A53">
              <w:rPr>
                <w:rFonts w:asciiTheme="minorHAnsi" w:hAnsiTheme="minorHAnsi" w:cstheme="minorHAnsi"/>
                <w:sz w:val="24"/>
                <w:szCs w:val="24"/>
              </w:rPr>
              <w:t>February 2025</w:t>
            </w:r>
          </w:p>
        </w:tc>
        <w:tc>
          <w:tcPr>
            <w:tcW w:w="5718" w:type="dxa"/>
            <w:shd w:val="clear" w:color="auto" w:fill="auto"/>
          </w:tcPr>
          <w:p w14:paraId="783EBA7D" w14:textId="4D77998A" w:rsidR="001134AD" w:rsidRPr="005F0A53" w:rsidRDefault="001134AD" w:rsidP="00BC16D5">
            <w:pPr>
              <w:pStyle w:val="BodyText"/>
              <w:jc w:val="left"/>
              <w:rPr>
                <w:rFonts w:asciiTheme="minorHAnsi" w:hAnsiTheme="minorHAnsi" w:cstheme="minorHAnsi"/>
                <w:sz w:val="24"/>
                <w:szCs w:val="24"/>
              </w:rPr>
            </w:pPr>
            <w:r w:rsidRPr="005F0A53">
              <w:rPr>
                <w:rFonts w:asciiTheme="minorHAnsi" w:hAnsiTheme="minorHAnsi" w:cstheme="minorHAnsi"/>
                <w:sz w:val="24"/>
                <w:szCs w:val="24"/>
              </w:rPr>
              <w:t>Review and add Intercompany section</w:t>
            </w:r>
          </w:p>
        </w:tc>
      </w:tr>
    </w:tbl>
    <w:p w14:paraId="34AA3825" w14:textId="38CE7C24" w:rsidR="00D2734C" w:rsidRPr="00062C99" w:rsidRDefault="004B7667" w:rsidP="00062C99">
      <w:pPr>
        <w:ind w:left="0" w:firstLine="0"/>
        <w:jc w:val="both"/>
        <w:rPr>
          <w:rFonts w:asciiTheme="minorHAnsi" w:hAnsiTheme="minorHAnsi" w:cstheme="minorHAnsi"/>
          <w:color w:val="auto"/>
          <w:sz w:val="16"/>
          <w:szCs w:val="16"/>
        </w:rPr>
      </w:pPr>
      <w:bookmarkStart w:id="16" w:name="_GoBack"/>
      <w:bookmarkEnd w:id="16"/>
    </w:p>
    <w:sectPr w:rsidR="00D2734C" w:rsidRPr="00062C99" w:rsidSect="00062C99">
      <w:footerReference w:type="default" r:id="rId12"/>
      <w:headerReference w:type="first" r:id="rId13"/>
      <w:pgSz w:w="11906" w:h="16838" w:code="9"/>
      <w:pgMar w:top="1440" w:right="1440" w:bottom="1440" w:left="1440" w:header="709" w:footer="47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2E939" w14:textId="77777777" w:rsidR="009A17ED" w:rsidRDefault="00A44D96">
      <w:r>
        <w:separator/>
      </w:r>
    </w:p>
  </w:endnote>
  <w:endnote w:type="continuationSeparator" w:id="0">
    <w:p w14:paraId="57A30DBB" w14:textId="77777777" w:rsidR="009A17ED" w:rsidRDefault="00A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5691"/>
      <w:docPartObj>
        <w:docPartGallery w:val="Page Numbers (Bottom of Page)"/>
        <w:docPartUnique/>
      </w:docPartObj>
    </w:sdtPr>
    <w:sdtEndPr/>
    <w:sdtContent>
      <w:sdt>
        <w:sdtPr>
          <w:id w:val="565050477"/>
          <w:docPartObj>
            <w:docPartGallery w:val="Page Numbers (Top of Page)"/>
            <w:docPartUnique/>
          </w:docPartObj>
        </w:sdtPr>
        <w:sdtEndPr/>
        <w:sdtContent>
          <w:p w14:paraId="1C4FC99E" w14:textId="5B52B19E" w:rsidR="007A23EA" w:rsidRDefault="00F94980" w:rsidP="009E23B8">
            <w:pPr>
              <w:pStyle w:val="Footer"/>
              <w:ind w:left="720"/>
              <w:jc w:val="center"/>
              <w:rPr>
                <w:b/>
              </w:rPr>
            </w:pPr>
            <w:r w:rsidRPr="00F94980">
              <w:rPr>
                <w:rFonts w:asciiTheme="minorHAnsi" w:hAnsiTheme="minorHAnsi"/>
                <w:sz w:val="22"/>
                <w:szCs w:val="22"/>
              </w:rPr>
              <w:t xml:space="preserve">POLCFO 15 </w:t>
            </w:r>
            <w:r w:rsidR="001F432B" w:rsidRPr="00B97D1F">
              <w:rPr>
                <w:rFonts w:asciiTheme="minorHAnsi" w:hAnsiTheme="minorHAnsi"/>
                <w:sz w:val="22"/>
                <w:szCs w:val="22"/>
              </w:rPr>
              <w:t xml:space="preserve">Treasury Management Policy     </w:t>
            </w:r>
            <w:r w:rsidR="001F432B">
              <w:rPr>
                <w:rFonts w:asciiTheme="minorHAnsi" w:hAnsiTheme="minorHAnsi"/>
                <w:sz w:val="22"/>
                <w:szCs w:val="22"/>
              </w:rPr>
              <w:t xml:space="preserve">             </w:t>
            </w:r>
            <w:r w:rsidR="001F432B" w:rsidRPr="00B97D1F">
              <w:rPr>
                <w:rFonts w:asciiTheme="minorHAnsi" w:hAnsiTheme="minorHAnsi"/>
                <w:sz w:val="22"/>
                <w:szCs w:val="22"/>
              </w:rPr>
              <w:t xml:space="preserve">                                                                    </w:t>
            </w:r>
            <w:r w:rsidR="001F432B" w:rsidRPr="007A23EA">
              <w:rPr>
                <w:rFonts w:asciiTheme="minorHAnsi" w:hAnsiTheme="minorHAnsi"/>
              </w:rPr>
              <w:t xml:space="preserve">Page </w:t>
            </w:r>
            <w:r w:rsidR="001F432B" w:rsidRPr="007A23EA">
              <w:rPr>
                <w:rFonts w:asciiTheme="minorHAnsi" w:hAnsiTheme="minorHAnsi"/>
                <w:b/>
              </w:rPr>
              <w:fldChar w:fldCharType="begin"/>
            </w:r>
            <w:r w:rsidR="001F432B" w:rsidRPr="007A23EA">
              <w:rPr>
                <w:rFonts w:asciiTheme="minorHAnsi" w:hAnsiTheme="minorHAnsi"/>
                <w:b/>
              </w:rPr>
              <w:instrText xml:space="preserve"> PAGE </w:instrText>
            </w:r>
            <w:r w:rsidR="001F432B" w:rsidRPr="007A23EA">
              <w:rPr>
                <w:rFonts w:asciiTheme="minorHAnsi" w:hAnsiTheme="minorHAnsi"/>
                <w:b/>
              </w:rPr>
              <w:fldChar w:fldCharType="separate"/>
            </w:r>
            <w:r w:rsidR="001F432B">
              <w:rPr>
                <w:rFonts w:asciiTheme="minorHAnsi" w:hAnsiTheme="minorHAnsi"/>
                <w:b/>
                <w:noProof/>
              </w:rPr>
              <w:t>4</w:t>
            </w:r>
            <w:r w:rsidR="001F432B" w:rsidRPr="007A23EA">
              <w:rPr>
                <w:rFonts w:asciiTheme="minorHAnsi" w:hAnsiTheme="minorHAnsi"/>
                <w:b/>
              </w:rPr>
              <w:fldChar w:fldCharType="end"/>
            </w:r>
            <w:r w:rsidR="001F432B" w:rsidRPr="007A23EA">
              <w:rPr>
                <w:rFonts w:asciiTheme="minorHAnsi" w:hAnsiTheme="minorHAnsi"/>
              </w:rPr>
              <w:t xml:space="preserve"> of </w:t>
            </w:r>
            <w:r w:rsidR="001F432B">
              <w:rPr>
                <w:rFonts w:asciiTheme="minorHAnsi" w:hAnsiTheme="minorHAnsi"/>
                <w:b/>
              </w:rPr>
              <w:t>5</w:t>
            </w:r>
          </w:p>
          <w:p w14:paraId="3BF668B9" w14:textId="77777777" w:rsidR="00021902" w:rsidRDefault="001F432B" w:rsidP="007A23EA">
            <w:pPr>
              <w:pStyle w:val="Footer"/>
              <w:ind w:left="720"/>
              <w:jc w:val="right"/>
            </w:pPr>
            <w:r w:rsidRPr="007A23EA">
              <w:rPr>
                <w:rFonts w:asciiTheme="minorHAnsi" w:hAnsiTheme="minorHAnsi"/>
                <w:sz w:val="16"/>
                <w:szCs w:val="16"/>
              </w:rPr>
              <w:t>New College Lanarkshire: Registered Charity Number SC021206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11F8" w14:textId="77777777" w:rsidR="009A17ED" w:rsidRDefault="00A44D96">
      <w:r>
        <w:separator/>
      </w:r>
    </w:p>
  </w:footnote>
  <w:footnote w:type="continuationSeparator" w:id="0">
    <w:p w14:paraId="23F5BA56" w14:textId="77777777" w:rsidR="009A17ED" w:rsidRDefault="00A4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A199" w14:textId="431B9975" w:rsidR="00132FAF" w:rsidRDefault="004B7667" w:rsidP="0013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F95"/>
    <w:multiLevelType w:val="hybridMultilevel"/>
    <w:tmpl w:val="455E9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3B5D40"/>
    <w:multiLevelType w:val="multilevel"/>
    <w:tmpl w:val="707CD89E"/>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A14AD"/>
    <w:multiLevelType w:val="hybridMultilevel"/>
    <w:tmpl w:val="DCDA5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C24414"/>
    <w:multiLevelType w:val="multilevel"/>
    <w:tmpl w:val="D60AE3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0324B4"/>
    <w:multiLevelType w:val="hybridMultilevel"/>
    <w:tmpl w:val="7B503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835E6"/>
    <w:multiLevelType w:val="multilevel"/>
    <w:tmpl w:val="01463D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FF677F"/>
    <w:multiLevelType w:val="multilevel"/>
    <w:tmpl w:val="9B08F18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C66831"/>
    <w:multiLevelType w:val="multilevel"/>
    <w:tmpl w:val="61520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7A79FE"/>
    <w:multiLevelType w:val="multilevel"/>
    <w:tmpl w:val="BD2AADDE"/>
    <w:lvl w:ilvl="0">
      <w:start w:val="12"/>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67DC37DF"/>
    <w:multiLevelType w:val="multilevel"/>
    <w:tmpl w:val="61520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262667"/>
    <w:multiLevelType w:val="multilevel"/>
    <w:tmpl w:val="01463D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AF7B53"/>
    <w:multiLevelType w:val="hybridMultilevel"/>
    <w:tmpl w:val="F1003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2"/>
  </w:num>
  <w:num w:numId="4">
    <w:abstractNumId w:val="11"/>
  </w:num>
  <w:num w:numId="5">
    <w:abstractNumId w:val="0"/>
  </w:num>
  <w:num w:numId="6">
    <w:abstractNumId w:val="10"/>
  </w:num>
  <w:num w:numId="7">
    <w:abstractNumId w:val="6"/>
  </w:num>
  <w:num w:numId="8">
    <w:abstractNumId w:val="8"/>
  </w:num>
  <w:num w:numId="9">
    <w:abstractNumId w:val="1"/>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2B"/>
    <w:rsid w:val="00062C99"/>
    <w:rsid w:val="000D11FF"/>
    <w:rsid w:val="000F3438"/>
    <w:rsid w:val="001134AD"/>
    <w:rsid w:val="001150C8"/>
    <w:rsid w:val="00161695"/>
    <w:rsid w:val="001C0139"/>
    <w:rsid w:val="001F191A"/>
    <w:rsid w:val="001F432B"/>
    <w:rsid w:val="002506B4"/>
    <w:rsid w:val="00260E6D"/>
    <w:rsid w:val="00281D26"/>
    <w:rsid w:val="002B42DC"/>
    <w:rsid w:val="002D28DA"/>
    <w:rsid w:val="00374546"/>
    <w:rsid w:val="003C39AB"/>
    <w:rsid w:val="003D51A8"/>
    <w:rsid w:val="00412214"/>
    <w:rsid w:val="004234A8"/>
    <w:rsid w:val="004855EA"/>
    <w:rsid w:val="00497249"/>
    <w:rsid w:val="004B7667"/>
    <w:rsid w:val="004F303F"/>
    <w:rsid w:val="00572993"/>
    <w:rsid w:val="005A4B75"/>
    <w:rsid w:val="005C50F3"/>
    <w:rsid w:val="005C5895"/>
    <w:rsid w:val="005D6E0D"/>
    <w:rsid w:val="005F0A53"/>
    <w:rsid w:val="005F38C3"/>
    <w:rsid w:val="00682DEC"/>
    <w:rsid w:val="006852D9"/>
    <w:rsid w:val="00692897"/>
    <w:rsid w:val="007D3630"/>
    <w:rsid w:val="00810FFC"/>
    <w:rsid w:val="008F327C"/>
    <w:rsid w:val="009A17ED"/>
    <w:rsid w:val="009C0533"/>
    <w:rsid w:val="009E204F"/>
    <w:rsid w:val="00A44D96"/>
    <w:rsid w:val="00A53DFC"/>
    <w:rsid w:val="00A57BDA"/>
    <w:rsid w:val="00A651BB"/>
    <w:rsid w:val="00AB3B31"/>
    <w:rsid w:val="00AC0A47"/>
    <w:rsid w:val="00B34566"/>
    <w:rsid w:val="00BC16D5"/>
    <w:rsid w:val="00BF223F"/>
    <w:rsid w:val="00C45B45"/>
    <w:rsid w:val="00C55078"/>
    <w:rsid w:val="00C62FAF"/>
    <w:rsid w:val="00C71003"/>
    <w:rsid w:val="00C914BD"/>
    <w:rsid w:val="00D4768B"/>
    <w:rsid w:val="00E11494"/>
    <w:rsid w:val="00E30F6A"/>
    <w:rsid w:val="00F16074"/>
    <w:rsid w:val="00F94980"/>
    <w:rsid w:val="0770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A9DA74"/>
  <w15:chartTrackingRefBased/>
  <w15:docId w15:val="{BEA10C25-6383-4325-BC40-89360C7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32B"/>
    <w:pPr>
      <w:spacing w:after="0" w:line="240" w:lineRule="auto"/>
      <w:ind w:left="1440" w:hanging="720"/>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1F43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2B"/>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qFormat/>
    <w:rsid w:val="001F432B"/>
    <w:pPr>
      <w:ind w:left="720"/>
      <w:contextualSpacing/>
    </w:pPr>
  </w:style>
  <w:style w:type="paragraph" w:styleId="Header">
    <w:name w:val="header"/>
    <w:basedOn w:val="Normal"/>
    <w:link w:val="HeaderChar"/>
    <w:uiPriority w:val="99"/>
    <w:unhideWhenUsed/>
    <w:rsid w:val="001F432B"/>
    <w:pPr>
      <w:tabs>
        <w:tab w:val="center" w:pos="4513"/>
        <w:tab w:val="right" w:pos="9026"/>
      </w:tabs>
    </w:pPr>
  </w:style>
  <w:style w:type="character" w:customStyle="1" w:styleId="HeaderChar">
    <w:name w:val="Header Char"/>
    <w:basedOn w:val="DefaultParagraphFont"/>
    <w:link w:val="Header"/>
    <w:uiPriority w:val="99"/>
    <w:rsid w:val="001F432B"/>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1F432B"/>
    <w:pPr>
      <w:tabs>
        <w:tab w:val="center" w:pos="4513"/>
        <w:tab w:val="right" w:pos="9026"/>
      </w:tabs>
    </w:pPr>
  </w:style>
  <w:style w:type="character" w:customStyle="1" w:styleId="FooterChar">
    <w:name w:val="Footer Char"/>
    <w:basedOn w:val="DefaultParagraphFont"/>
    <w:link w:val="Footer"/>
    <w:uiPriority w:val="99"/>
    <w:rsid w:val="001F432B"/>
    <w:rPr>
      <w:rFonts w:ascii="Arial" w:eastAsia="Times New Roman" w:hAnsi="Arial" w:cs="Arial"/>
      <w:color w:val="000000"/>
      <w:sz w:val="24"/>
      <w:szCs w:val="24"/>
      <w:lang w:val="en-US"/>
    </w:rPr>
  </w:style>
  <w:style w:type="paragraph" w:styleId="TOCHeading">
    <w:name w:val="TOC Heading"/>
    <w:basedOn w:val="Heading1"/>
    <w:next w:val="Normal"/>
    <w:uiPriority w:val="39"/>
    <w:unhideWhenUsed/>
    <w:qFormat/>
    <w:rsid w:val="001F432B"/>
    <w:pPr>
      <w:spacing w:line="276" w:lineRule="auto"/>
      <w:ind w:left="0" w:firstLine="0"/>
      <w:outlineLvl w:val="9"/>
    </w:pPr>
  </w:style>
  <w:style w:type="paragraph" w:styleId="TOC1">
    <w:name w:val="toc 1"/>
    <w:basedOn w:val="Normal"/>
    <w:next w:val="Normal"/>
    <w:autoRedefine/>
    <w:uiPriority w:val="39"/>
    <w:unhideWhenUsed/>
    <w:rsid w:val="005F0A53"/>
    <w:pPr>
      <w:tabs>
        <w:tab w:val="left" w:pos="1560"/>
        <w:tab w:val="right" w:leader="dot" w:pos="9016"/>
      </w:tabs>
      <w:spacing w:after="100"/>
      <w:ind w:left="0" w:firstLine="0"/>
      <w:jc w:val="both"/>
    </w:pPr>
  </w:style>
  <w:style w:type="character" w:styleId="Hyperlink">
    <w:name w:val="Hyperlink"/>
    <w:basedOn w:val="DefaultParagraphFont"/>
    <w:uiPriority w:val="99"/>
    <w:unhideWhenUsed/>
    <w:rsid w:val="001F432B"/>
    <w:rPr>
      <w:color w:val="0563C1" w:themeColor="hyperlink"/>
      <w:u w:val="single"/>
    </w:rPr>
  </w:style>
  <w:style w:type="table" w:styleId="TableGrid">
    <w:name w:val="Table Grid"/>
    <w:basedOn w:val="TableNormal"/>
    <w:uiPriority w:val="59"/>
    <w:rsid w:val="001F43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F432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1F432B"/>
    <w:pPr>
      <w:ind w:left="0" w:firstLine="0"/>
      <w:jc w:val="both"/>
    </w:pPr>
    <w:rPr>
      <w:rFonts w:cs="Times New Roman"/>
      <w:color w:val="auto"/>
      <w:sz w:val="22"/>
      <w:szCs w:val="20"/>
      <w:lang w:val="en-GB"/>
    </w:rPr>
  </w:style>
  <w:style w:type="character" w:customStyle="1" w:styleId="BodyTextChar">
    <w:name w:val="Body Text Char"/>
    <w:basedOn w:val="DefaultParagraphFont"/>
    <w:link w:val="BodyText"/>
    <w:rsid w:val="001F432B"/>
    <w:rPr>
      <w:rFonts w:ascii="Arial" w:eastAsia="Times New Roman" w:hAnsi="Arial" w:cs="Times New Roman"/>
      <w:szCs w:val="20"/>
    </w:rPr>
  </w:style>
  <w:style w:type="character" w:styleId="CommentReference">
    <w:name w:val="annotation reference"/>
    <w:basedOn w:val="DefaultParagraphFont"/>
    <w:uiPriority w:val="99"/>
    <w:semiHidden/>
    <w:unhideWhenUsed/>
    <w:rsid w:val="001F432B"/>
    <w:rPr>
      <w:sz w:val="16"/>
      <w:szCs w:val="16"/>
    </w:rPr>
  </w:style>
  <w:style w:type="paragraph" w:styleId="CommentText">
    <w:name w:val="annotation text"/>
    <w:basedOn w:val="Normal"/>
    <w:link w:val="CommentTextChar"/>
    <w:uiPriority w:val="99"/>
    <w:semiHidden/>
    <w:unhideWhenUsed/>
    <w:rsid w:val="001F432B"/>
    <w:rPr>
      <w:sz w:val="20"/>
      <w:szCs w:val="20"/>
    </w:rPr>
  </w:style>
  <w:style w:type="character" w:customStyle="1" w:styleId="CommentTextChar">
    <w:name w:val="Comment Text Char"/>
    <w:basedOn w:val="DefaultParagraphFont"/>
    <w:link w:val="CommentText"/>
    <w:uiPriority w:val="99"/>
    <w:semiHidden/>
    <w:rsid w:val="001F432B"/>
    <w:rPr>
      <w:rFonts w:ascii="Arial" w:eastAsia="Times New Roman" w:hAnsi="Arial" w:cs="Arial"/>
      <w:color w:val="000000"/>
      <w:sz w:val="20"/>
      <w:szCs w:val="20"/>
      <w:lang w:val="en-US"/>
    </w:rPr>
  </w:style>
  <w:style w:type="paragraph" w:styleId="Revision">
    <w:name w:val="Revision"/>
    <w:hidden/>
    <w:uiPriority w:val="99"/>
    <w:semiHidden/>
    <w:rsid w:val="00A44D96"/>
    <w:pPr>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44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96"/>
    <w:rPr>
      <w:rFonts w:ascii="Segoe UI" w:eastAsia="Times New Roman" w:hAnsi="Segoe UI" w:cs="Segoe UI"/>
      <w:color w:val="000000"/>
      <w:sz w:val="18"/>
      <w:szCs w:val="18"/>
      <w:lang w:val="en-US"/>
    </w:rPr>
  </w:style>
  <w:style w:type="paragraph" w:customStyle="1" w:styleId="TableParagraph">
    <w:name w:val="Table Paragraph"/>
    <w:basedOn w:val="Normal"/>
    <w:uiPriority w:val="1"/>
    <w:qFormat/>
    <w:rsid w:val="00682DEC"/>
    <w:pPr>
      <w:widowControl w:val="0"/>
      <w:autoSpaceDE w:val="0"/>
      <w:autoSpaceDN w:val="0"/>
      <w:ind w:left="107" w:firstLine="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93AD-D9D6-44A8-BC4D-DAC99F5C32C1}">
  <ds:schemaRefs>
    <ds:schemaRef ds:uri="http://schemas.microsoft.com/office/infopath/2007/PartnerControls"/>
    <ds:schemaRef ds:uri="http://schemas.openxmlformats.org/package/2006/metadata/core-properties"/>
    <ds:schemaRef ds:uri="http://purl.org/dc/terms/"/>
    <ds:schemaRef ds:uri="http://purl.org/dc/elements/1.1/"/>
    <ds:schemaRef ds:uri="425f2454-5a42-4da4-acc9-1421f5b84bd7"/>
    <ds:schemaRef ds:uri="http://schemas.microsoft.com/office/2006/metadata/properties"/>
    <ds:schemaRef ds:uri="http://schemas.microsoft.com/office/2006/documentManagement/types"/>
    <ds:schemaRef ds:uri="http://purl.org/dc/dcmitype/"/>
    <ds:schemaRef ds:uri="a6b0a586-1ef6-4ab0-a76d-2a440b27d74e"/>
    <ds:schemaRef ds:uri="http://www.w3.org/XML/1998/namespace"/>
  </ds:schemaRefs>
</ds:datastoreItem>
</file>

<file path=customXml/itemProps2.xml><?xml version="1.0" encoding="utf-8"?>
<ds:datastoreItem xmlns:ds="http://schemas.openxmlformats.org/officeDocument/2006/customXml" ds:itemID="{5DA06083-CA75-4F6F-847D-8177712F0394}">
  <ds:schemaRefs>
    <ds:schemaRef ds:uri="http://schemas.microsoft.com/sharepoint/v3/contenttype/forms"/>
  </ds:schemaRefs>
</ds:datastoreItem>
</file>

<file path=customXml/itemProps3.xml><?xml version="1.0" encoding="utf-8"?>
<ds:datastoreItem xmlns:ds="http://schemas.openxmlformats.org/officeDocument/2006/customXml" ds:itemID="{46E86CE3-B179-4711-82FD-1D83DF584907}"/>
</file>

<file path=customXml/itemProps4.xml><?xml version="1.0" encoding="utf-8"?>
<ds:datastoreItem xmlns:ds="http://schemas.openxmlformats.org/officeDocument/2006/customXml" ds:itemID="{73BF5C11-4EED-4F34-B2E8-480B7FD6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McDonald</dc:creator>
  <cp:keywords/>
  <dc:description/>
  <cp:lastModifiedBy>Lynn MacKenzie</cp:lastModifiedBy>
  <cp:revision>11</cp:revision>
  <cp:lastPrinted>2025-02-13T10:50:00Z</cp:lastPrinted>
  <dcterms:created xsi:type="dcterms:W3CDTF">2025-02-13T14:59:00Z</dcterms:created>
  <dcterms:modified xsi:type="dcterms:W3CDTF">2025-02-17T16:43:00Z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