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32" w:rsidRDefault="004F1932" w:rsidP="004F1932">
      <w:pPr>
        <w:rPr>
          <w:rFonts w:eastAsia="Times New Roman" w:cstheme="minorHAnsi"/>
          <w:b/>
          <w:sz w:val="28"/>
          <w:szCs w:val="28"/>
          <w:lang w:eastAsia="en-GB"/>
        </w:rPr>
      </w:pPr>
      <w:bookmarkStart w:id="0" w:name="_GoBack"/>
      <w:bookmarkEnd w:id="0"/>
      <w:r w:rsidRPr="004B6521">
        <w:rPr>
          <w:rFonts w:eastAsia="Times New Roman" w:cstheme="minorHAnsi"/>
          <w:b/>
          <w:sz w:val="28"/>
          <w:szCs w:val="28"/>
          <w:lang w:eastAsia="en-GB"/>
        </w:rPr>
        <w:t xml:space="preserve">Audit and Risk Committee </w:t>
      </w:r>
      <w:r>
        <w:rPr>
          <w:rFonts w:eastAsia="Times New Roman" w:cstheme="minorHAnsi"/>
          <w:b/>
          <w:sz w:val="28"/>
          <w:szCs w:val="28"/>
          <w:lang w:eastAsia="en-GB"/>
        </w:rPr>
        <w:t>Minute</w:t>
      </w:r>
    </w:p>
    <w:p w:rsidR="004F1932" w:rsidRDefault="004F1932" w:rsidP="004F1932">
      <w:pPr>
        <w:rPr>
          <w:rFonts w:eastAsia="Times New Roman" w:cstheme="minorHAnsi"/>
          <w:b/>
          <w:lang w:eastAsia="en-GB"/>
        </w:rPr>
      </w:pPr>
      <w:r>
        <w:rPr>
          <w:rFonts w:eastAsia="Times New Roman" w:cstheme="minorHAnsi"/>
          <w:b/>
          <w:lang w:eastAsia="en-GB"/>
        </w:rPr>
        <w:t>5.00 pm 2 December 2024 – at the Motherwell Campus (venue changed) and Via Zoom</w:t>
      </w:r>
    </w:p>
    <w:p w:rsidR="004F1932" w:rsidRDefault="004F1932" w:rsidP="004F1932">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Present</w:t>
      </w:r>
      <w:r w:rsidR="00A023B9">
        <w:rPr>
          <w:rFonts w:eastAsia="Times New Roman" w:cstheme="minorHAnsi"/>
          <w:b/>
        </w:rPr>
        <w:t xml:space="preserve"> face to face</w:t>
      </w:r>
      <w:r>
        <w:rPr>
          <w:rFonts w:eastAsia="Times New Roman" w:cstheme="minorHAnsi"/>
          <w:b/>
        </w:rPr>
        <w:t>: Yvonne Finlayson, Catherine Pollock</w:t>
      </w:r>
    </w:p>
    <w:p w:rsidR="00A023B9" w:rsidRDefault="00A023B9" w:rsidP="00A023B9">
      <w:pPr>
        <w:keepNext/>
        <w:tabs>
          <w:tab w:val="left" w:pos="-1440"/>
          <w:tab w:val="left" w:pos="284"/>
          <w:tab w:val="num" w:pos="1080"/>
        </w:tabs>
        <w:spacing w:after="0" w:line="240" w:lineRule="auto"/>
        <w:outlineLvl w:val="1"/>
        <w:rPr>
          <w:rFonts w:eastAsia="Times New Roman" w:cstheme="minorHAnsi"/>
          <w:b/>
        </w:rPr>
      </w:pPr>
    </w:p>
    <w:p w:rsidR="004F1932" w:rsidRDefault="00A023B9" w:rsidP="00A023B9">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 xml:space="preserve">In attendance face to face: </w:t>
      </w:r>
      <w:r w:rsidR="004F1932">
        <w:rPr>
          <w:rFonts w:eastAsia="Times New Roman" w:cstheme="minorHAnsi"/>
          <w:b/>
        </w:rPr>
        <w:t xml:space="preserve">Christopher Moore, Ann Baxter, Iain Clark, Ronnie Gilmour, Diane McGill, </w:t>
      </w:r>
      <w:r w:rsidR="00EF0ABF">
        <w:rPr>
          <w:rFonts w:eastAsia="Times New Roman" w:cstheme="minorHAnsi"/>
          <w:b/>
        </w:rPr>
        <w:t xml:space="preserve">Lynn </w:t>
      </w:r>
      <w:proofErr w:type="spellStart"/>
      <w:r w:rsidR="00EF0ABF">
        <w:rPr>
          <w:rFonts w:eastAsia="Times New Roman" w:cstheme="minorHAnsi"/>
          <w:b/>
        </w:rPr>
        <w:t>McKenzie,</w:t>
      </w:r>
      <w:r w:rsidR="004F1932">
        <w:rPr>
          <w:rFonts w:eastAsia="Times New Roman" w:cstheme="minorHAnsi"/>
          <w:b/>
        </w:rPr>
        <w:t>Jack</w:t>
      </w:r>
      <w:proofErr w:type="spellEnd"/>
      <w:r w:rsidR="004F1932">
        <w:rPr>
          <w:rFonts w:eastAsia="Times New Roman" w:cstheme="minorHAnsi"/>
          <w:b/>
        </w:rPr>
        <w:t xml:space="preserve"> Kerr (Audit Scotland), Louisa Yule (Audit Scotland), Penny Neish, Ronnie Smith</w:t>
      </w:r>
      <w:r>
        <w:rPr>
          <w:rFonts w:eastAsia="Times New Roman" w:cstheme="minorHAnsi"/>
          <w:b/>
        </w:rPr>
        <w:t>, Elaine Turkington.</w:t>
      </w:r>
    </w:p>
    <w:p w:rsidR="00A023B9" w:rsidRDefault="00A023B9" w:rsidP="004F1932">
      <w:pPr>
        <w:keepNext/>
        <w:tabs>
          <w:tab w:val="left" w:pos="-1440"/>
          <w:tab w:val="left" w:pos="284"/>
          <w:tab w:val="num" w:pos="1080"/>
        </w:tabs>
        <w:spacing w:after="0" w:line="240" w:lineRule="auto"/>
        <w:outlineLvl w:val="1"/>
        <w:rPr>
          <w:rFonts w:eastAsia="Times New Roman" w:cstheme="minorHAnsi"/>
          <w:b/>
        </w:rPr>
      </w:pPr>
    </w:p>
    <w:p w:rsidR="004F1932" w:rsidRDefault="004F1932" w:rsidP="004F1932">
      <w:pPr>
        <w:keepNext/>
        <w:tabs>
          <w:tab w:val="left" w:pos="-1440"/>
          <w:tab w:val="left" w:pos="284"/>
          <w:tab w:val="num" w:pos="1080"/>
        </w:tabs>
        <w:spacing w:after="0" w:line="240" w:lineRule="auto"/>
        <w:outlineLvl w:val="1"/>
        <w:rPr>
          <w:rFonts w:eastAsia="Times New Roman" w:cstheme="minorHAnsi"/>
          <w:b/>
        </w:rPr>
      </w:pPr>
      <w:r>
        <w:rPr>
          <w:rFonts w:eastAsia="Times New Roman" w:cstheme="minorHAnsi"/>
          <w:b/>
        </w:rPr>
        <w:t xml:space="preserve">Via Zoom: </w:t>
      </w:r>
      <w:r w:rsidR="00A023B9">
        <w:rPr>
          <w:rFonts w:eastAsia="Times New Roman" w:cstheme="minorHAnsi"/>
          <w:b/>
        </w:rPr>
        <w:t xml:space="preserve">Kellyann McGraith, </w:t>
      </w:r>
      <w:r>
        <w:rPr>
          <w:rFonts w:eastAsia="Times New Roman" w:cstheme="minorHAnsi"/>
          <w:b/>
        </w:rPr>
        <w:t>Elaine McKechnie, Stella McManus, Stephen Pringle (</w:t>
      </w:r>
      <w:r w:rsidR="00DC7540">
        <w:rPr>
          <w:rFonts w:eastAsia="Times New Roman" w:cstheme="minorHAnsi"/>
          <w:b/>
        </w:rPr>
        <w:t>WBG</w:t>
      </w:r>
      <w:r>
        <w:rPr>
          <w:rFonts w:eastAsia="Times New Roman" w:cstheme="minorHAnsi"/>
          <w:b/>
        </w:rPr>
        <w:t>), Alastair Rennie</w:t>
      </w:r>
      <w:r w:rsidR="005A3833">
        <w:rPr>
          <w:rFonts w:eastAsia="Times New Roman" w:cstheme="minorHAnsi"/>
          <w:b/>
        </w:rPr>
        <w:t>, She</w:t>
      </w:r>
      <w:r w:rsidR="00A023B9">
        <w:rPr>
          <w:rFonts w:eastAsia="Times New Roman" w:cstheme="minorHAnsi"/>
          <w:b/>
        </w:rPr>
        <w:t>lagh</w:t>
      </w:r>
      <w:r w:rsidR="005A3833">
        <w:rPr>
          <w:rFonts w:eastAsia="Times New Roman" w:cstheme="minorHAnsi"/>
          <w:b/>
        </w:rPr>
        <w:t xml:space="preserve"> Stewart</w:t>
      </w:r>
      <w:r w:rsidR="00A023B9">
        <w:rPr>
          <w:rFonts w:eastAsia="Times New Roman" w:cstheme="minorHAnsi"/>
          <w:b/>
        </w:rPr>
        <w:t xml:space="preserve"> (Audit Scotland)</w:t>
      </w:r>
      <w:r w:rsidR="005853DF">
        <w:rPr>
          <w:rFonts w:eastAsia="Times New Roman" w:cstheme="minorHAnsi"/>
          <w:b/>
        </w:rPr>
        <w:t xml:space="preserve">, </w:t>
      </w:r>
      <w:r w:rsidR="00A023B9">
        <w:rPr>
          <w:rFonts w:eastAsia="Times New Roman" w:cstheme="minorHAnsi"/>
          <w:b/>
        </w:rPr>
        <w:t>Tricia Meldrum (Audit Scotland).</w:t>
      </w:r>
    </w:p>
    <w:p w:rsidR="004F1932" w:rsidRDefault="004F1932" w:rsidP="004F1932">
      <w:pPr>
        <w:keepNext/>
        <w:tabs>
          <w:tab w:val="left" w:pos="-1440"/>
          <w:tab w:val="left" w:pos="284"/>
          <w:tab w:val="num" w:pos="1080"/>
        </w:tabs>
        <w:spacing w:after="0" w:line="240" w:lineRule="auto"/>
        <w:outlineLvl w:val="1"/>
        <w:rPr>
          <w:rFonts w:eastAsia="Times New Roman" w:cstheme="minorHAnsi"/>
          <w:b/>
        </w:rPr>
      </w:pPr>
    </w:p>
    <w:p w:rsidR="004F1932" w:rsidRPr="00504AD9" w:rsidRDefault="004F1932" w:rsidP="004F1932">
      <w:pPr>
        <w:keepNext/>
        <w:tabs>
          <w:tab w:val="left" w:pos="-1440"/>
          <w:tab w:val="left" w:pos="284"/>
          <w:tab w:val="num" w:pos="1080"/>
        </w:tabs>
        <w:spacing w:after="0" w:line="240" w:lineRule="auto"/>
        <w:outlineLvl w:val="1"/>
        <w:rPr>
          <w:rFonts w:eastAsia="Times New Roman" w:cstheme="minorHAnsi"/>
        </w:rPr>
      </w:pPr>
      <w:r>
        <w:rPr>
          <w:rFonts w:eastAsia="Times New Roman" w:cstheme="minorHAnsi"/>
          <w:b/>
        </w:rPr>
        <w:t xml:space="preserve">1. </w:t>
      </w:r>
      <w:r w:rsidRPr="003E5296">
        <w:rPr>
          <w:rFonts w:eastAsia="Times New Roman" w:cstheme="minorHAnsi"/>
          <w:b/>
        </w:rPr>
        <w:t>Chair</w:t>
      </w:r>
      <w:r>
        <w:rPr>
          <w:rFonts w:eastAsia="Times New Roman" w:cstheme="minorHAnsi"/>
          <w:b/>
        </w:rPr>
        <w:t>’</w:t>
      </w:r>
      <w:r w:rsidRPr="003E5296">
        <w:rPr>
          <w:rFonts w:eastAsia="Times New Roman" w:cstheme="minorHAnsi"/>
          <w:b/>
        </w:rPr>
        <w:t xml:space="preserve">s </w:t>
      </w:r>
      <w:r>
        <w:rPr>
          <w:rFonts w:eastAsia="Times New Roman" w:cstheme="minorHAnsi"/>
          <w:b/>
        </w:rPr>
        <w:t>w</w:t>
      </w:r>
      <w:r w:rsidRPr="003E5296">
        <w:rPr>
          <w:rFonts w:eastAsia="Times New Roman" w:cstheme="minorHAnsi"/>
          <w:b/>
        </w:rPr>
        <w:t>elcome</w:t>
      </w:r>
      <w:r>
        <w:rPr>
          <w:rFonts w:eastAsia="Times New Roman" w:cstheme="minorHAnsi"/>
          <w:b/>
        </w:rPr>
        <w:t xml:space="preserve">: </w:t>
      </w:r>
      <w:r w:rsidRPr="00504AD9">
        <w:rPr>
          <w:rFonts w:eastAsia="Times New Roman" w:cstheme="minorHAnsi"/>
        </w:rPr>
        <w:t xml:space="preserve">The Chair welcomed everyone </w:t>
      </w:r>
      <w:r>
        <w:rPr>
          <w:rFonts w:eastAsia="Times New Roman" w:cstheme="minorHAnsi"/>
        </w:rPr>
        <w:t>and thanked them for attending the meeting.</w:t>
      </w:r>
    </w:p>
    <w:p w:rsidR="004F1932" w:rsidRDefault="004F1932" w:rsidP="004F1932">
      <w:pPr>
        <w:keepNext/>
        <w:tabs>
          <w:tab w:val="left" w:pos="-1440"/>
          <w:tab w:val="left" w:pos="851"/>
          <w:tab w:val="num" w:pos="1080"/>
        </w:tabs>
        <w:spacing w:after="0" w:line="240" w:lineRule="auto"/>
        <w:outlineLvl w:val="1"/>
        <w:rPr>
          <w:rFonts w:eastAsia="Times New Roman" w:cstheme="minorHAnsi"/>
          <w:b/>
        </w:rPr>
      </w:pPr>
    </w:p>
    <w:p w:rsidR="004F1932" w:rsidRPr="003E5296" w:rsidRDefault="004F1932" w:rsidP="004F1932">
      <w:pPr>
        <w:keepNext/>
        <w:tabs>
          <w:tab w:val="left" w:pos="-1440"/>
          <w:tab w:val="num" w:pos="567"/>
          <w:tab w:val="left" w:pos="851"/>
          <w:tab w:val="num" w:pos="993"/>
          <w:tab w:val="right" w:pos="8789"/>
        </w:tabs>
        <w:spacing w:after="0" w:line="240" w:lineRule="auto"/>
        <w:ind w:left="284" w:hanging="284"/>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Pr>
          <w:rFonts w:eastAsia="Times New Roman" w:cstheme="minorHAnsi"/>
          <w:b/>
        </w:rPr>
        <w:t xml:space="preserve">: </w:t>
      </w:r>
      <w:r>
        <w:rPr>
          <w:rFonts w:eastAsia="Times New Roman" w:cstheme="minorHAnsi"/>
        </w:rPr>
        <w:t>as noted above</w:t>
      </w:r>
      <w:r w:rsidRPr="00504AD9">
        <w:rPr>
          <w:rFonts w:eastAsia="Times New Roman" w:cstheme="minorHAnsi"/>
        </w:rPr>
        <w:t>.</w:t>
      </w:r>
    </w:p>
    <w:p w:rsidR="004F1932" w:rsidRPr="003E5296" w:rsidRDefault="004F1932" w:rsidP="004F1932">
      <w:pPr>
        <w:keepNext/>
        <w:tabs>
          <w:tab w:val="left" w:pos="-1440"/>
          <w:tab w:val="num" w:pos="567"/>
          <w:tab w:val="left" w:pos="851"/>
          <w:tab w:val="right" w:pos="8789"/>
        </w:tabs>
        <w:spacing w:after="0" w:line="240" w:lineRule="auto"/>
        <w:jc w:val="both"/>
        <w:outlineLvl w:val="1"/>
        <w:rPr>
          <w:rFonts w:eastAsia="Times New Roman" w:cstheme="minorHAnsi"/>
          <w:b/>
        </w:rPr>
      </w:pPr>
    </w:p>
    <w:p w:rsidR="004F1932" w:rsidRPr="002A367B" w:rsidRDefault="004F1932" w:rsidP="004F1932">
      <w:pPr>
        <w:keepNext/>
        <w:tabs>
          <w:tab w:val="left" w:pos="-1440"/>
          <w:tab w:val="num" w:pos="284"/>
          <w:tab w:val="left" w:pos="851"/>
          <w:tab w:val="right" w:pos="8789"/>
        </w:tabs>
        <w:spacing w:after="0" w:line="240" w:lineRule="auto"/>
        <w:jc w:val="both"/>
        <w:outlineLvl w:val="1"/>
        <w:rPr>
          <w:rFonts w:eastAsia="Times New Roman" w:cstheme="minorHAnsi"/>
          <w:b/>
          <w:color w:val="FF0000"/>
        </w:rPr>
      </w:pPr>
      <w:r w:rsidRPr="003E5296">
        <w:rPr>
          <w:rFonts w:eastAsia="Times New Roman" w:cstheme="minorHAnsi"/>
          <w:b/>
        </w:rPr>
        <w:t>3.</w:t>
      </w:r>
      <w:r w:rsidRPr="003E5296">
        <w:rPr>
          <w:rFonts w:eastAsia="Times New Roman" w:cstheme="minorHAnsi"/>
          <w:b/>
        </w:rPr>
        <w:tab/>
        <w:t>Declarations of Interest</w:t>
      </w:r>
      <w:r>
        <w:rPr>
          <w:rFonts w:eastAsia="Times New Roman" w:cstheme="minorHAnsi"/>
          <w:b/>
        </w:rPr>
        <w:t xml:space="preserve">: </w:t>
      </w:r>
      <w:r w:rsidRPr="00504AD9">
        <w:rPr>
          <w:rFonts w:eastAsia="Times New Roman" w:cstheme="minorHAnsi"/>
        </w:rPr>
        <w:t>There were no declarations of interest.</w:t>
      </w:r>
      <w:r w:rsidR="00976791">
        <w:rPr>
          <w:rFonts w:eastAsia="Times New Roman" w:cstheme="minorHAnsi"/>
        </w:rPr>
        <w:t xml:space="preserve"> </w:t>
      </w:r>
    </w:p>
    <w:p w:rsidR="004F1932" w:rsidRDefault="004F1932" w:rsidP="004F1932">
      <w:pPr>
        <w:keepNext/>
        <w:tabs>
          <w:tab w:val="left" w:pos="-1440"/>
          <w:tab w:val="num" w:pos="567"/>
          <w:tab w:val="left" w:pos="851"/>
          <w:tab w:val="right" w:pos="8789"/>
        </w:tabs>
        <w:spacing w:after="0" w:line="240" w:lineRule="auto"/>
        <w:jc w:val="both"/>
        <w:outlineLvl w:val="1"/>
        <w:rPr>
          <w:rFonts w:eastAsia="Times New Roman" w:cstheme="minorHAnsi"/>
          <w:b/>
        </w:rPr>
      </w:pPr>
    </w:p>
    <w:p w:rsidR="00B136B6" w:rsidRDefault="004F1932" w:rsidP="004F1932">
      <w:pPr>
        <w:tabs>
          <w:tab w:val="left" w:pos="284"/>
          <w:tab w:val="left" w:pos="851"/>
        </w:tabs>
        <w:spacing w:after="0" w:line="240" w:lineRule="auto"/>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 xml:space="preserve">Minute of meeting </w:t>
      </w:r>
      <w:r w:rsidR="00B136B6">
        <w:rPr>
          <w:rFonts w:eastAsia="Times New Roman" w:cstheme="minorHAnsi"/>
          <w:b/>
        </w:rPr>
        <w:t xml:space="preserve">2 September </w:t>
      </w:r>
      <w:r>
        <w:rPr>
          <w:rFonts w:eastAsia="Times New Roman" w:cstheme="minorHAnsi"/>
          <w:b/>
        </w:rPr>
        <w:t>2024</w:t>
      </w:r>
      <w:r w:rsidR="00B136B6">
        <w:rPr>
          <w:rFonts w:eastAsia="Times New Roman" w:cstheme="minorHAnsi"/>
          <w:b/>
        </w:rPr>
        <w:t xml:space="preserve">.  </w:t>
      </w:r>
      <w:r w:rsidR="00B136B6" w:rsidRPr="00B136B6">
        <w:rPr>
          <w:rFonts w:eastAsia="Times New Roman" w:cstheme="minorHAnsi"/>
        </w:rPr>
        <w:t>The minutes were agreed.</w:t>
      </w:r>
    </w:p>
    <w:p w:rsidR="00B136B6" w:rsidRDefault="00B136B6" w:rsidP="004F1932">
      <w:pPr>
        <w:tabs>
          <w:tab w:val="left" w:pos="284"/>
          <w:tab w:val="left" w:pos="851"/>
        </w:tabs>
        <w:spacing w:after="0" w:line="240" w:lineRule="auto"/>
        <w:rPr>
          <w:rFonts w:eastAsia="Times New Roman" w:cstheme="minorHAnsi"/>
          <w:b/>
        </w:rPr>
      </w:pPr>
    </w:p>
    <w:p w:rsidR="003978E2" w:rsidRDefault="00B136B6" w:rsidP="004F1932">
      <w:pPr>
        <w:tabs>
          <w:tab w:val="left" w:pos="284"/>
          <w:tab w:val="left" w:pos="851"/>
        </w:tabs>
        <w:spacing w:after="0" w:line="240" w:lineRule="auto"/>
        <w:rPr>
          <w:rFonts w:eastAsia="Times New Roman" w:cstheme="minorHAnsi"/>
        </w:rPr>
      </w:pPr>
      <w:r>
        <w:rPr>
          <w:rFonts w:eastAsia="Times New Roman" w:cstheme="minorHAnsi"/>
          <w:b/>
        </w:rPr>
        <w:t xml:space="preserve">5.  </w:t>
      </w:r>
      <w:r w:rsidR="004F1932">
        <w:rPr>
          <w:rFonts w:eastAsia="Times New Roman" w:cstheme="minorHAnsi"/>
          <w:b/>
        </w:rPr>
        <w:t>Matters Arising:</w:t>
      </w:r>
      <w:r w:rsidR="004F1932">
        <w:rPr>
          <w:rFonts w:eastAsia="Times New Roman" w:cstheme="minorHAnsi"/>
        </w:rPr>
        <w:t xml:space="preserve"> Yvonne Finlayson went through the Matters Arising Report</w:t>
      </w:r>
      <w:r w:rsidR="003978E2">
        <w:rPr>
          <w:rFonts w:eastAsia="Times New Roman" w:cstheme="minorHAnsi"/>
        </w:rPr>
        <w:t>.  Iain Clark reported that he had contacted OSCR on the issue of</w:t>
      </w:r>
      <w:r w:rsidR="00342BA3">
        <w:rPr>
          <w:rFonts w:eastAsia="Times New Roman" w:cstheme="minorHAnsi"/>
        </w:rPr>
        <w:t xml:space="preserve"> Financial Sustainability and Trustee Liability</w:t>
      </w:r>
      <w:r w:rsidR="004F1932" w:rsidRPr="00825284">
        <w:rPr>
          <w:rFonts w:eastAsia="Times New Roman" w:cstheme="minorHAnsi"/>
        </w:rPr>
        <w:t>.</w:t>
      </w:r>
      <w:r w:rsidR="003978E2">
        <w:rPr>
          <w:rFonts w:eastAsia="Times New Roman" w:cstheme="minorHAnsi"/>
        </w:rPr>
        <w:t xml:space="preserve">  The response he had received was that as long as the Board acted in good faith on behalf of the college as a charity, </w:t>
      </w:r>
      <w:r w:rsidR="00DC7540">
        <w:rPr>
          <w:rFonts w:eastAsia="Times New Roman" w:cstheme="minorHAnsi"/>
        </w:rPr>
        <w:t xml:space="preserve">and complied with the Trustee guidance, </w:t>
      </w:r>
      <w:r w:rsidR="003978E2">
        <w:rPr>
          <w:rFonts w:eastAsia="Times New Roman" w:cstheme="minorHAnsi"/>
        </w:rPr>
        <w:t>this would fulfil OSCR’s requirements.  An update will be given to the RSB at its next meeting (10</w:t>
      </w:r>
      <w:r w:rsidR="00342BA3">
        <w:rPr>
          <w:rFonts w:eastAsia="Times New Roman" w:cstheme="minorHAnsi"/>
        </w:rPr>
        <w:t>th</w:t>
      </w:r>
      <w:r w:rsidR="003978E2">
        <w:rPr>
          <w:rFonts w:eastAsia="Times New Roman" w:cstheme="minorHAnsi"/>
        </w:rPr>
        <w:t xml:space="preserve"> December 2024).</w:t>
      </w:r>
    </w:p>
    <w:p w:rsidR="003978E2" w:rsidRDefault="003978E2" w:rsidP="004F1932">
      <w:pPr>
        <w:tabs>
          <w:tab w:val="left" w:pos="284"/>
          <w:tab w:val="left" w:pos="851"/>
        </w:tabs>
        <w:spacing w:after="0" w:line="240" w:lineRule="auto"/>
        <w:rPr>
          <w:rFonts w:eastAsia="Times New Roman" w:cstheme="minorHAnsi"/>
        </w:rPr>
      </w:pPr>
    </w:p>
    <w:p w:rsidR="00D04B57" w:rsidRDefault="00F65B17" w:rsidP="00F65B17">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t>6</w:t>
      </w:r>
      <w:r w:rsidR="004F1932">
        <w:rPr>
          <w:rFonts w:eastAsia="Times New Roman" w:cstheme="minorHAnsi"/>
          <w:b/>
        </w:rPr>
        <w:t xml:space="preserve">. </w:t>
      </w:r>
      <w:r w:rsidR="004F1932">
        <w:rPr>
          <w:rFonts w:eastAsia="Times New Roman" w:cstheme="minorHAnsi"/>
          <w:b/>
        </w:rPr>
        <w:tab/>
        <w:t>SLC ARC Update: Elaine McKechnie highlighted the following areas from her report</w:t>
      </w:r>
      <w:r>
        <w:rPr>
          <w:rFonts w:eastAsia="Times New Roman" w:cstheme="minorHAnsi"/>
          <w:b/>
        </w:rPr>
        <w:t xml:space="preserve"> tabled at the SLC ARC on 15 November 2024</w:t>
      </w:r>
      <w:r w:rsidR="004F1932">
        <w:rPr>
          <w:rFonts w:eastAsia="Times New Roman" w:cstheme="minorHAnsi"/>
          <w:b/>
        </w:rPr>
        <w:t>:</w:t>
      </w:r>
      <w:r>
        <w:rPr>
          <w:rFonts w:eastAsia="Times New Roman" w:cstheme="minorHAnsi"/>
          <w:b/>
        </w:rPr>
        <w:t xml:space="preserve"> </w:t>
      </w:r>
    </w:p>
    <w:p w:rsidR="003978E2" w:rsidRPr="00F65B17" w:rsidRDefault="00D04B57" w:rsidP="00F65B17">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b/>
        </w:rPr>
      </w:pPr>
      <w:r w:rsidRPr="00D04B57">
        <w:rPr>
          <w:rStyle w:val="normaltextrun"/>
          <w:rFonts w:cstheme="minorHAnsi"/>
          <w:b/>
        </w:rPr>
        <w:t>Annual Audit Report</w:t>
      </w:r>
      <w:r>
        <w:rPr>
          <w:rStyle w:val="normaltextrun"/>
          <w:rFonts w:cstheme="minorHAnsi"/>
        </w:rPr>
        <w:t xml:space="preserve">: </w:t>
      </w:r>
      <w:r w:rsidR="003978E2" w:rsidRPr="00F65B17">
        <w:rPr>
          <w:rStyle w:val="normaltextrun"/>
          <w:rFonts w:cstheme="minorHAnsi"/>
        </w:rPr>
        <w:t xml:space="preserve">Audit Scotland attended the meeting and presented their draft Annual Audit Report, noting no material concerns and their expectation that the final audit opinion would be unmodified. However, the College still has some work still to </w:t>
      </w:r>
      <w:r w:rsidR="00F65B17">
        <w:rPr>
          <w:rStyle w:val="normaltextrun"/>
          <w:rFonts w:cstheme="minorHAnsi"/>
        </w:rPr>
        <w:t xml:space="preserve">do </w:t>
      </w:r>
      <w:r w:rsidR="003978E2" w:rsidRPr="00F65B17">
        <w:rPr>
          <w:rStyle w:val="normaltextrun"/>
          <w:rFonts w:cstheme="minorHAnsi"/>
        </w:rPr>
        <w:t>within the fixed asset register to ensure accuracy around asset listings</w:t>
      </w:r>
      <w:r w:rsidR="00F65B17">
        <w:rPr>
          <w:rStyle w:val="normaltextrun"/>
          <w:rFonts w:cstheme="minorHAnsi"/>
        </w:rPr>
        <w:t xml:space="preserve">.  </w:t>
      </w:r>
      <w:r w:rsidR="003978E2" w:rsidRPr="00F65B17">
        <w:rPr>
          <w:rStyle w:val="normaltextrun"/>
          <w:rFonts w:cstheme="minorHAnsi"/>
        </w:rPr>
        <w:t>It was agreed by College Management that this would be reviewed across 2024-25.</w:t>
      </w:r>
      <w:r w:rsidR="003978E2" w:rsidRPr="00F65B17">
        <w:rPr>
          <w:rStyle w:val="eop"/>
          <w:rFonts w:cstheme="minorHAnsi"/>
        </w:rPr>
        <w:t> </w:t>
      </w:r>
    </w:p>
    <w:p w:rsidR="003978E2" w:rsidRPr="00F65B17" w:rsidRDefault="00F65B17" w:rsidP="00F65B17">
      <w:pPr>
        <w:pStyle w:val="paragraph"/>
        <w:spacing w:before="0" w:beforeAutospacing="0" w:after="0" w:afterAutospacing="0"/>
        <w:jc w:val="both"/>
        <w:textAlignment w:val="baseline"/>
        <w:rPr>
          <w:rFonts w:asciiTheme="minorHAnsi" w:hAnsiTheme="minorHAnsi" w:cstheme="minorHAnsi"/>
          <w:sz w:val="22"/>
          <w:szCs w:val="22"/>
        </w:rPr>
      </w:pPr>
      <w:r w:rsidRPr="00F65B17">
        <w:rPr>
          <w:rStyle w:val="normaltextrun"/>
          <w:rFonts w:asciiTheme="minorHAnsi" w:hAnsiTheme="minorHAnsi" w:cstheme="minorHAnsi"/>
          <w:sz w:val="22"/>
          <w:szCs w:val="22"/>
        </w:rPr>
        <w:t xml:space="preserve">In conjunction with the SLC Finance Committee, the </w:t>
      </w:r>
      <w:r w:rsidR="002A367B">
        <w:rPr>
          <w:rStyle w:val="normaltextrun"/>
          <w:rFonts w:asciiTheme="minorHAnsi" w:hAnsiTheme="minorHAnsi" w:cstheme="minorHAnsi"/>
          <w:sz w:val="22"/>
          <w:szCs w:val="22"/>
        </w:rPr>
        <w:t xml:space="preserve">SLC </w:t>
      </w:r>
      <w:r w:rsidRPr="00F65B17">
        <w:rPr>
          <w:rStyle w:val="normaltextrun"/>
          <w:rFonts w:asciiTheme="minorHAnsi" w:hAnsiTheme="minorHAnsi" w:cstheme="minorHAnsi"/>
          <w:sz w:val="22"/>
          <w:szCs w:val="22"/>
        </w:rPr>
        <w:t xml:space="preserve">ARC </w:t>
      </w:r>
      <w:r w:rsidR="003978E2" w:rsidRPr="00F65B17">
        <w:rPr>
          <w:rStyle w:val="normaltextrun"/>
          <w:rFonts w:asciiTheme="minorHAnsi" w:hAnsiTheme="minorHAnsi" w:cstheme="minorHAnsi"/>
          <w:sz w:val="22"/>
          <w:szCs w:val="22"/>
        </w:rPr>
        <w:t>noted an operating deficit of £1,677k and an adjusted operation position of £378k surplus.</w:t>
      </w:r>
      <w:r w:rsidR="003978E2" w:rsidRPr="00F65B17">
        <w:rPr>
          <w:rStyle w:val="eop"/>
          <w:rFonts w:asciiTheme="minorHAnsi" w:hAnsiTheme="minorHAnsi" w:cstheme="minorHAnsi"/>
          <w:sz w:val="22"/>
          <w:szCs w:val="22"/>
        </w:rPr>
        <w:t> </w:t>
      </w:r>
    </w:p>
    <w:p w:rsidR="003978E2" w:rsidRPr="00F65B17" w:rsidRDefault="002A367B" w:rsidP="00F65B17">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The two SLC </w:t>
      </w:r>
      <w:r w:rsidR="003978E2" w:rsidRPr="00F65B17">
        <w:rPr>
          <w:rStyle w:val="normaltextrun"/>
          <w:rFonts w:asciiTheme="minorHAnsi" w:hAnsiTheme="minorHAnsi" w:cstheme="minorHAnsi"/>
          <w:sz w:val="22"/>
          <w:szCs w:val="22"/>
        </w:rPr>
        <w:t xml:space="preserve">Committees were advised of the ongoing </w:t>
      </w:r>
      <w:r w:rsidR="00F65B17" w:rsidRPr="00F65B17">
        <w:rPr>
          <w:rStyle w:val="normaltextrun"/>
          <w:rFonts w:asciiTheme="minorHAnsi" w:hAnsiTheme="minorHAnsi" w:cstheme="minorHAnsi"/>
          <w:sz w:val="22"/>
          <w:szCs w:val="22"/>
        </w:rPr>
        <w:t xml:space="preserve">issue </w:t>
      </w:r>
      <w:r w:rsidR="003978E2" w:rsidRPr="00F65B17">
        <w:rPr>
          <w:rStyle w:val="normaltextrun"/>
          <w:rFonts w:asciiTheme="minorHAnsi" w:hAnsiTheme="minorHAnsi" w:cstheme="minorHAnsi"/>
          <w:sz w:val="22"/>
          <w:szCs w:val="22"/>
        </w:rPr>
        <w:t>in accounting treatment of Job Evaluation between the SFC and the College Sector but were assured that appropriate advice and guidance had been sought from Audit Scotland to ensure accurate disclosures were incorporated that would be in full compliance with relevant accounting standards and Statement of Recommended Practice (SORP). </w:t>
      </w:r>
      <w:r w:rsidR="003978E2" w:rsidRPr="00F65B17">
        <w:rPr>
          <w:rStyle w:val="eop"/>
          <w:rFonts w:asciiTheme="minorHAnsi" w:hAnsiTheme="minorHAnsi" w:cstheme="minorHAnsi"/>
          <w:sz w:val="22"/>
          <w:szCs w:val="22"/>
        </w:rPr>
        <w:t> </w:t>
      </w:r>
    </w:p>
    <w:p w:rsidR="003978E2" w:rsidRDefault="00F65B17" w:rsidP="00F65B17">
      <w:pPr>
        <w:pStyle w:val="paragraph"/>
        <w:spacing w:before="0" w:beforeAutospacing="0" w:after="0" w:afterAutospacing="0"/>
        <w:jc w:val="both"/>
        <w:textAlignment w:val="baseline"/>
        <w:rPr>
          <w:rStyle w:val="normaltextrun"/>
          <w:rFonts w:ascii="Calibri" w:hAnsi="Calibri" w:cs="Calibri"/>
          <w:sz w:val="22"/>
          <w:szCs w:val="22"/>
        </w:rPr>
      </w:pPr>
      <w:r w:rsidRPr="00F65B17">
        <w:rPr>
          <w:rStyle w:val="normaltextrun"/>
          <w:rFonts w:ascii="Calibri" w:hAnsi="Calibri" w:cs="Calibri"/>
          <w:b/>
          <w:bCs/>
          <w:sz w:val="22"/>
          <w:szCs w:val="22"/>
        </w:rPr>
        <w:t xml:space="preserve">Internal Audit update:  </w:t>
      </w:r>
      <w:r w:rsidRPr="00F65B17">
        <w:rPr>
          <w:rStyle w:val="normaltextrun"/>
          <w:rFonts w:ascii="Calibri" w:hAnsi="Calibri" w:cs="Calibri"/>
          <w:bCs/>
          <w:sz w:val="22"/>
          <w:szCs w:val="22"/>
        </w:rPr>
        <w:t xml:space="preserve">Henderson Loggie </w:t>
      </w:r>
      <w:r w:rsidR="003978E2" w:rsidRPr="00F65B17">
        <w:rPr>
          <w:rStyle w:val="normaltextrun"/>
          <w:rFonts w:ascii="Calibri" w:hAnsi="Calibri" w:cs="Calibri"/>
          <w:sz w:val="22"/>
          <w:szCs w:val="22"/>
        </w:rPr>
        <w:t>provided an update of the progress on internal audit assignments, sharing their final report from the Student Funding audit and the Student Activity (Credits) Audit</w:t>
      </w:r>
      <w:r w:rsidR="00D04B57">
        <w:rPr>
          <w:rStyle w:val="normaltextrun"/>
          <w:rFonts w:ascii="Calibri" w:hAnsi="Calibri" w:cs="Calibri"/>
          <w:sz w:val="22"/>
          <w:szCs w:val="22"/>
        </w:rPr>
        <w:t xml:space="preserve">;  two </w:t>
      </w:r>
      <w:r w:rsidR="003978E2" w:rsidRPr="00F65B17">
        <w:rPr>
          <w:rStyle w:val="normaltextrun"/>
          <w:rFonts w:ascii="Calibri" w:hAnsi="Calibri" w:cs="Calibri"/>
          <w:sz w:val="22"/>
          <w:szCs w:val="22"/>
        </w:rPr>
        <w:t>low risk recommendations being noted</w:t>
      </w:r>
      <w:r w:rsidR="00D04B57">
        <w:rPr>
          <w:rStyle w:val="normaltextrun"/>
          <w:rFonts w:ascii="Calibri" w:hAnsi="Calibri" w:cs="Calibri"/>
          <w:sz w:val="22"/>
          <w:szCs w:val="22"/>
        </w:rPr>
        <w:t>.  There were no major concerns.</w:t>
      </w:r>
    </w:p>
    <w:p w:rsidR="00D04B57" w:rsidRPr="00F65B17" w:rsidRDefault="00D04B57" w:rsidP="00F65B17">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No concerns were noted over the adequacy of the control and governance arrangements; the pension contribution error was noted as an ongoing project which will be concluded in 2025.</w:t>
      </w:r>
    </w:p>
    <w:p w:rsidR="003978E2" w:rsidRPr="00D04B57" w:rsidRDefault="00D04B57" w:rsidP="000A629E">
      <w:pPr>
        <w:pStyle w:val="paragraph"/>
        <w:spacing w:before="0" w:beforeAutospacing="0" w:after="0" w:afterAutospacing="0"/>
        <w:jc w:val="both"/>
        <w:textAlignment w:val="baseline"/>
        <w:rPr>
          <w:rStyle w:val="eop"/>
          <w:rFonts w:ascii="Calibri" w:hAnsi="Calibri" w:cs="Calibri"/>
          <w:sz w:val="22"/>
          <w:szCs w:val="22"/>
        </w:rPr>
      </w:pPr>
      <w:r w:rsidRPr="00D04B57">
        <w:rPr>
          <w:rStyle w:val="normaltextrun"/>
          <w:rFonts w:ascii="Calibri" w:hAnsi="Calibri" w:cs="Calibri"/>
          <w:sz w:val="22"/>
          <w:szCs w:val="22"/>
        </w:rPr>
        <w:t>The internal auditors</w:t>
      </w:r>
      <w:r w:rsidR="003978E2" w:rsidRPr="00D04B57">
        <w:rPr>
          <w:rStyle w:val="normaltextrun"/>
          <w:rFonts w:ascii="Calibri" w:hAnsi="Calibri" w:cs="Calibri"/>
          <w:sz w:val="22"/>
          <w:szCs w:val="22"/>
        </w:rPr>
        <w:t xml:space="preserve"> noted that only 17 out of the previous 24 audit recommendations had been fully implemented but recognised that many of the residual recommendations had not yet passed their expected completion dates </w:t>
      </w:r>
      <w:r>
        <w:rPr>
          <w:rStyle w:val="normaltextrun"/>
          <w:rFonts w:ascii="Calibri" w:hAnsi="Calibri" w:cs="Calibri"/>
          <w:sz w:val="22"/>
          <w:szCs w:val="22"/>
        </w:rPr>
        <w:t>while</w:t>
      </w:r>
      <w:r w:rsidR="003978E2" w:rsidRPr="00D04B57">
        <w:rPr>
          <w:rStyle w:val="normaltextrun"/>
          <w:rFonts w:ascii="Calibri" w:hAnsi="Calibri" w:cs="Calibri"/>
          <w:sz w:val="22"/>
          <w:szCs w:val="22"/>
        </w:rPr>
        <w:t xml:space="preserve"> others were contingent on training and new system implementations being operational prior to fully demonstrating completion of the recommendation.</w:t>
      </w:r>
      <w:r w:rsidR="003978E2" w:rsidRPr="00D04B57">
        <w:rPr>
          <w:rStyle w:val="eop"/>
          <w:rFonts w:ascii="Calibri" w:hAnsi="Calibri" w:cs="Calibri"/>
          <w:sz w:val="22"/>
          <w:szCs w:val="22"/>
        </w:rPr>
        <w:t> </w:t>
      </w:r>
    </w:p>
    <w:p w:rsidR="003978E2" w:rsidRDefault="00D04B57" w:rsidP="000A629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D04B57">
        <w:rPr>
          <w:rFonts w:asciiTheme="minorHAnsi" w:hAnsiTheme="minorHAnsi" w:cstheme="minorHAnsi"/>
          <w:b/>
          <w:sz w:val="22"/>
          <w:szCs w:val="22"/>
        </w:rPr>
        <w:t>Rolling Audit Monitor</w:t>
      </w:r>
      <w:r>
        <w:rPr>
          <w:rFonts w:asciiTheme="minorHAnsi" w:hAnsiTheme="minorHAnsi" w:cstheme="minorHAnsi"/>
          <w:b/>
          <w:sz w:val="22"/>
          <w:szCs w:val="22"/>
        </w:rPr>
        <w:t xml:space="preserve">: </w:t>
      </w:r>
      <w:r w:rsidR="003978E2" w:rsidRPr="00D04B57">
        <w:rPr>
          <w:rStyle w:val="normaltextrun"/>
          <w:rFonts w:asciiTheme="minorHAnsi" w:hAnsiTheme="minorHAnsi" w:cstheme="minorHAnsi"/>
          <w:sz w:val="22"/>
          <w:szCs w:val="22"/>
        </w:rPr>
        <w:t>The College has made progress in addressing the recommendations made in previous audit assignments. 5 recommendations have been closed off during the last quarter. </w:t>
      </w:r>
      <w:r w:rsidR="003978E2" w:rsidRPr="00D04B57">
        <w:rPr>
          <w:rStyle w:val="eop"/>
          <w:rFonts w:asciiTheme="minorHAnsi" w:hAnsiTheme="minorHAnsi" w:cstheme="minorHAnsi"/>
          <w:sz w:val="22"/>
          <w:szCs w:val="22"/>
        </w:rPr>
        <w:t> </w:t>
      </w:r>
      <w:r w:rsidR="003978E2" w:rsidRPr="00D04B57">
        <w:rPr>
          <w:rStyle w:val="normaltextrun"/>
          <w:rFonts w:asciiTheme="minorHAnsi" w:hAnsiTheme="minorHAnsi" w:cstheme="minorHAnsi"/>
          <w:sz w:val="22"/>
          <w:szCs w:val="22"/>
        </w:rPr>
        <w:t>There are 23 outstanding recommendations on the monitor</w:t>
      </w:r>
      <w:r w:rsidRPr="00D04B57">
        <w:rPr>
          <w:rStyle w:val="normaltextrun"/>
          <w:rFonts w:asciiTheme="minorHAnsi" w:hAnsiTheme="minorHAnsi" w:cstheme="minorHAnsi"/>
          <w:sz w:val="22"/>
          <w:szCs w:val="22"/>
        </w:rPr>
        <w:t>.  None of these are high priority.  There are no concerns.</w:t>
      </w:r>
    </w:p>
    <w:p w:rsidR="003978E2" w:rsidRPr="000A629E" w:rsidRDefault="00D04B57" w:rsidP="000A629E">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b/>
          <w:sz w:val="22"/>
          <w:szCs w:val="22"/>
        </w:rPr>
        <w:t xml:space="preserve">Risk Management:  </w:t>
      </w:r>
      <w:r w:rsidRPr="000A629E">
        <w:rPr>
          <w:rFonts w:asciiTheme="minorHAnsi" w:hAnsiTheme="minorHAnsi" w:cstheme="minorHAnsi"/>
          <w:sz w:val="22"/>
          <w:szCs w:val="22"/>
        </w:rPr>
        <w:t xml:space="preserve">SLC has adopted the template provided by NCL.  This has enhanced SLC’s risk profile. </w:t>
      </w:r>
      <w:r w:rsidR="003978E2" w:rsidRPr="000A629E">
        <w:rPr>
          <w:rStyle w:val="eop"/>
          <w:rFonts w:asciiTheme="minorHAnsi" w:hAnsiTheme="minorHAnsi" w:cstheme="minorHAnsi"/>
          <w:bCs/>
          <w:sz w:val="22"/>
          <w:szCs w:val="22"/>
        </w:rPr>
        <w:t> </w:t>
      </w:r>
    </w:p>
    <w:p w:rsidR="003978E2" w:rsidRDefault="000A629E" w:rsidP="000A629E">
      <w:pPr>
        <w:pStyle w:val="paragraph"/>
        <w:spacing w:before="0" w:beforeAutospacing="0" w:after="0" w:afterAutospacing="0"/>
        <w:jc w:val="both"/>
        <w:textAlignment w:val="baseline"/>
        <w:rPr>
          <w:rStyle w:val="eop"/>
          <w:rFonts w:asciiTheme="minorHAnsi" w:hAnsiTheme="minorHAnsi" w:cstheme="minorHAnsi"/>
          <w:b/>
          <w:bCs/>
          <w:sz w:val="22"/>
          <w:szCs w:val="22"/>
        </w:rPr>
      </w:pPr>
      <w:r>
        <w:rPr>
          <w:rStyle w:val="normaltextrun"/>
          <w:rFonts w:asciiTheme="minorHAnsi" w:hAnsiTheme="minorHAnsi" w:cstheme="minorHAnsi"/>
          <w:sz w:val="22"/>
          <w:szCs w:val="22"/>
        </w:rPr>
        <w:lastRenderedPageBreak/>
        <w:t>T</w:t>
      </w:r>
      <w:r w:rsidR="003978E2" w:rsidRPr="000A629E">
        <w:rPr>
          <w:rStyle w:val="normaltextrun"/>
          <w:rFonts w:asciiTheme="minorHAnsi" w:hAnsiTheme="minorHAnsi" w:cstheme="minorHAnsi"/>
          <w:sz w:val="22"/>
          <w:szCs w:val="22"/>
        </w:rPr>
        <w:t>he Committee noted some of the key themes that had been discussed at the SLC risk management group when exploring any changes to risk scores. Credit target achievement is looking encouraging for the year at 85% at this stage; financial risks continue and the NI increase impact of £300k has been assessed; there are reputational risks from the employment tribunals ongoing but this has been supported with internal comms by Chair of Board/Principal and a Media facing Comms plan being in place, as well as progress on maintaining quality learning and teaching through our Operational Planning review process.</w:t>
      </w:r>
      <w:r w:rsidR="003978E2" w:rsidRPr="000A629E">
        <w:rPr>
          <w:rStyle w:val="eop"/>
          <w:rFonts w:asciiTheme="minorHAnsi" w:hAnsiTheme="minorHAnsi" w:cstheme="minorHAnsi"/>
          <w:b/>
          <w:bCs/>
          <w:sz w:val="22"/>
          <w:szCs w:val="22"/>
        </w:rPr>
        <w:t> </w:t>
      </w:r>
    </w:p>
    <w:p w:rsidR="00F1259C" w:rsidRPr="00F1259C" w:rsidRDefault="00F1259C" w:rsidP="000A629E">
      <w:pPr>
        <w:pStyle w:val="paragraph"/>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
          <w:bCs/>
          <w:sz w:val="22"/>
          <w:szCs w:val="22"/>
        </w:rPr>
        <w:t xml:space="preserve">The draft report of the ARC to the SLC Board: </w:t>
      </w:r>
      <w:r w:rsidRPr="00F1259C">
        <w:rPr>
          <w:rFonts w:asciiTheme="minorHAnsi" w:hAnsiTheme="minorHAnsi" w:cstheme="minorHAnsi"/>
          <w:bCs/>
          <w:sz w:val="22"/>
          <w:szCs w:val="22"/>
        </w:rPr>
        <w:t>The Committee noted two historic operation</w:t>
      </w:r>
      <w:r w:rsidR="00A023B9">
        <w:rPr>
          <w:rFonts w:asciiTheme="minorHAnsi" w:hAnsiTheme="minorHAnsi" w:cstheme="minorHAnsi"/>
          <w:bCs/>
          <w:sz w:val="22"/>
          <w:szCs w:val="22"/>
        </w:rPr>
        <w:t>al</w:t>
      </w:r>
      <w:r w:rsidRPr="00F1259C">
        <w:rPr>
          <w:rFonts w:asciiTheme="minorHAnsi" w:hAnsiTheme="minorHAnsi" w:cstheme="minorHAnsi"/>
          <w:bCs/>
          <w:sz w:val="22"/>
          <w:szCs w:val="22"/>
        </w:rPr>
        <w:t xml:space="preserve"> failure</w:t>
      </w:r>
      <w:r w:rsidR="00A023B9">
        <w:rPr>
          <w:rFonts w:asciiTheme="minorHAnsi" w:hAnsiTheme="minorHAnsi" w:cstheme="minorHAnsi"/>
          <w:bCs/>
          <w:sz w:val="22"/>
          <w:szCs w:val="22"/>
        </w:rPr>
        <w:t>s</w:t>
      </w:r>
      <w:r w:rsidRPr="00F1259C">
        <w:rPr>
          <w:rFonts w:asciiTheme="minorHAnsi" w:hAnsiTheme="minorHAnsi" w:cstheme="minorHAnsi"/>
          <w:bCs/>
          <w:sz w:val="22"/>
          <w:szCs w:val="22"/>
        </w:rPr>
        <w:t xml:space="preserve"> with payroll controls where resolution is now underway and will be completed by February 2025, and incorrect payment of VAT % on utility bills which has been rectified through dialogue with the utility company.</w:t>
      </w:r>
    </w:p>
    <w:p w:rsidR="008E11BE" w:rsidRDefault="008E11BE" w:rsidP="008E11BE">
      <w:pPr>
        <w:spacing w:after="0" w:line="240" w:lineRule="auto"/>
        <w:jc w:val="both"/>
        <w:textAlignment w:val="baseline"/>
        <w:rPr>
          <w:rFonts w:eastAsia="Times New Roman" w:cstheme="minorHAnsi"/>
          <w:b/>
          <w:bCs/>
          <w:lang w:eastAsia="en-GB"/>
        </w:rPr>
      </w:pPr>
    </w:p>
    <w:p w:rsidR="008E11BE" w:rsidRDefault="008E11BE" w:rsidP="008E11BE">
      <w:pPr>
        <w:spacing w:after="0" w:line="240" w:lineRule="auto"/>
        <w:jc w:val="both"/>
        <w:textAlignment w:val="baseline"/>
        <w:rPr>
          <w:rFonts w:eastAsia="Times New Roman" w:cstheme="minorHAnsi"/>
          <w:bCs/>
          <w:lang w:eastAsia="en-GB"/>
        </w:rPr>
      </w:pPr>
      <w:r w:rsidRPr="008E11BE">
        <w:rPr>
          <w:rFonts w:eastAsia="Times New Roman" w:cstheme="minorHAnsi"/>
          <w:b/>
          <w:bCs/>
          <w:lang w:eastAsia="en-GB"/>
        </w:rPr>
        <w:t>7.</w:t>
      </w:r>
      <w:r>
        <w:rPr>
          <w:rFonts w:eastAsia="Times New Roman" w:cstheme="minorHAnsi"/>
          <w:b/>
          <w:bCs/>
          <w:lang w:eastAsia="en-GB"/>
        </w:rPr>
        <w:t xml:space="preserve">  SLC 2023/24 Audit and Financial Statements update: </w:t>
      </w:r>
      <w:r w:rsidRPr="008E11BE">
        <w:rPr>
          <w:rFonts w:eastAsia="Times New Roman" w:cstheme="minorHAnsi"/>
          <w:bCs/>
          <w:lang w:eastAsia="en-GB"/>
        </w:rPr>
        <w:t xml:space="preserve">Elaine McKechnie advised that SLC would be signing their accounts today and thanked Audit Scotland and NCL staff for their help </w:t>
      </w:r>
      <w:r>
        <w:rPr>
          <w:rFonts w:eastAsia="Times New Roman" w:cstheme="minorHAnsi"/>
          <w:bCs/>
          <w:lang w:eastAsia="en-GB"/>
        </w:rPr>
        <w:t xml:space="preserve">throughout this process.  </w:t>
      </w:r>
    </w:p>
    <w:p w:rsidR="00F67145" w:rsidRDefault="00E16B95" w:rsidP="008E11BE">
      <w:pPr>
        <w:spacing w:after="0" w:line="240" w:lineRule="auto"/>
        <w:jc w:val="both"/>
        <w:textAlignment w:val="baseline"/>
        <w:rPr>
          <w:rFonts w:eastAsia="Times New Roman" w:cstheme="minorHAnsi"/>
          <w:bCs/>
          <w:lang w:eastAsia="en-GB"/>
        </w:rPr>
      </w:pPr>
      <w:r>
        <w:rPr>
          <w:rFonts w:eastAsia="Times New Roman" w:cstheme="minorHAnsi"/>
          <w:bCs/>
          <w:lang w:eastAsia="en-GB"/>
        </w:rPr>
        <w:t>In their Annual Audit report Audit Scotland has not identified any concerns but recommended improvement of the fixed assets register.  SLC is happy to comply with this.</w:t>
      </w:r>
      <w:r w:rsidR="00A95B23">
        <w:rPr>
          <w:rFonts w:eastAsia="Times New Roman" w:cstheme="minorHAnsi"/>
          <w:bCs/>
          <w:lang w:eastAsia="en-GB"/>
        </w:rPr>
        <w:t xml:space="preserve">  Performance governance, remuneration and staff reports have shown improvement.</w:t>
      </w:r>
    </w:p>
    <w:p w:rsidR="00971AF3" w:rsidRDefault="00971AF3" w:rsidP="008E11BE">
      <w:pPr>
        <w:spacing w:after="0" w:line="240" w:lineRule="auto"/>
        <w:jc w:val="both"/>
        <w:textAlignment w:val="baseline"/>
        <w:rPr>
          <w:rFonts w:eastAsia="Times New Roman" w:cstheme="minorHAnsi"/>
          <w:bCs/>
          <w:lang w:eastAsia="en-GB"/>
        </w:rPr>
      </w:pPr>
      <w:r>
        <w:rPr>
          <w:rFonts w:eastAsia="Times New Roman" w:cstheme="minorHAnsi"/>
          <w:bCs/>
          <w:lang w:eastAsia="en-GB"/>
        </w:rPr>
        <w:t>SLC accounts are in full compliance and show an operating deficit for 23/24 of (£1.677m) and an adjusted operating surplus of £378k for the period.</w:t>
      </w:r>
    </w:p>
    <w:p w:rsidR="00A95B23" w:rsidRDefault="00A95B23" w:rsidP="008E11BE">
      <w:pPr>
        <w:spacing w:after="0" w:line="240" w:lineRule="auto"/>
        <w:jc w:val="both"/>
        <w:textAlignment w:val="baseline"/>
        <w:rPr>
          <w:rFonts w:eastAsia="Times New Roman" w:cstheme="minorHAnsi"/>
          <w:bCs/>
          <w:lang w:eastAsia="en-GB"/>
        </w:rPr>
      </w:pPr>
      <w:r w:rsidRPr="00A95B23">
        <w:rPr>
          <w:rFonts w:eastAsia="Times New Roman" w:cstheme="minorHAnsi"/>
          <w:b/>
          <w:bCs/>
          <w:lang w:eastAsia="en-GB"/>
        </w:rPr>
        <w:t>Job Evaluation</w:t>
      </w:r>
      <w:r>
        <w:rPr>
          <w:rFonts w:eastAsia="Times New Roman" w:cstheme="minorHAnsi"/>
          <w:bCs/>
          <w:lang w:eastAsia="en-GB"/>
        </w:rPr>
        <w:t>: there has been a technical dispute between SFC, the college sector, and its external auditors in respect of the intended treatment of job evaluation funding. Ultimately the colleges were required to accept this liability into college accounts, it having previously sat with SFC/Scottish Government.</w:t>
      </w:r>
    </w:p>
    <w:p w:rsidR="00910FFF" w:rsidRPr="008E11BE" w:rsidRDefault="00910FFF" w:rsidP="008E11BE">
      <w:pPr>
        <w:spacing w:after="0" w:line="240" w:lineRule="auto"/>
        <w:jc w:val="both"/>
        <w:textAlignment w:val="baseline"/>
        <w:rPr>
          <w:rFonts w:eastAsia="Times New Roman" w:cstheme="minorHAnsi"/>
          <w:bCs/>
          <w:lang w:eastAsia="en-GB"/>
        </w:rPr>
      </w:pPr>
      <w:r w:rsidRPr="00910FFF">
        <w:rPr>
          <w:rFonts w:eastAsia="Times New Roman" w:cstheme="minorHAnsi"/>
          <w:b/>
          <w:bCs/>
          <w:lang w:eastAsia="en-GB"/>
        </w:rPr>
        <w:t>Cash Flow statements</w:t>
      </w:r>
      <w:r>
        <w:rPr>
          <w:rFonts w:eastAsia="Times New Roman" w:cstheme="minorHAnsi"/>
          <w:bCs/>
          <w:lang w:eastAsia="en-GB"/>
        </w:rPr>
        <w:t>: This is an area SLC will monitor very closely in the future, although there are no major concerns.</w:t>
      </w:r>
    </w:p>
    <w:p w:rsidR="008E11BE" w:rsidRDefault="008E11BE"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4F1932" w:rsidRDefault="00910FFF" w:rsidP="00910FFF">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5A3833">
        <w:rPr>
          <w:rFonts w:eastAsia="Times New Roman" w:cstheme="minorHAnsi"/>
          <w:b/>
        </w:rPr>
        <w:t>8.</w:t>
      </w:r>
      <w:r>
        <w:rPr>
          <w:rFonts w:eastAsia="Times New Roman" w:cstheme="minorHAnsi"/>
        </w:rPr>
        <w:tab/>
      </w:r>
      <w:r w:rsidR="004F1932">
        <w:rPr>
          <w:rFonts w:eastAsia="Times New Roman" w:cstheme="minorHAnsi"/>
          <w:b/>
        </w:rPr>
        <w:t xml:space="preserve">Technical Bulletin Audit Scotland </w:t>
      </w:r>
      <w:r>
        <w:rPr>
          <w:rFonts w:eastAsia="Times New Roman" w:cstheme="minorHAnsi"/>
          <w:b/>
        </w:rPr>
        <w:t>July 2024- September 2024</w:t>
      </w:r>
      <w:r w:rsidR="004F1932">
        <w:rPr>
          <w:rFonts w:eastAsia="Times New Roman" w:cstheme="minorHAnsi"/>
          <w:b/>
        </w:rPr>
        <w:t xml:space="preserve">: </w:t>
      </w:r>
      <w:r w:rsidR="004F1932" w:rsidRPr="00480837">
        <w:rPr>
          <w:rFonts w:eastAsia="Times New Roman" w:cstheme="minorHAnsi"/>
        </w:rPr>
        <w:t>Iain Clark</w:t>
      </w:r>
      <w:r w:rsidR="004F1932">
        <w:rPr>
          <w:rFonts w:eastAsia="Times New Roman" w:cstheme="minorHAnsi"/>
        </w:rPr>
        <w:t xml:space="preserve"> noted that </w:t>
      </w:r>
      <w:r>
        <w:rPr>
          <w:rFonts w:eastAsia="Times New Roman" w:cstheme="minorHAnsi"/>
        </w:rPr>
        <w:t>in the College section of the Bulletin that SFC had issued the Accounts Direction for Scotland’s Colleges 2024 together with guidance notes on SORP compliance and the need to include a Performance Report and Accountability Report</w:t>
      </w:r>
      <w:r w:rsidR="005A3833">
        <w:rPr>
          <w:rFonts w:eastAsia="Times New Roman" w:cstheme="minorHAnsi"/>
        </w:rPr>
        <w:t xml:space="preserve"> in their annual report</w:t>
      </w:r>
      <w:r w:rsidR="003A2DC6">
        <w:rPr>
          <w:rFonts w:eastAsia="Times New Roman" w:cstheme="minorHAnsi"/>
        </w:rPr>
        <w:t xml:space="preserve"> and accounts</w:t>
      </w:r>
      <w:r w:rsidR="005A3833">
        <w:rPr>
          <w:rFonts w:eastAsia="Times New Roman" w:cstheme="minorHAnsi"/>
        </w:rPr>
        <w:t xml:space="preserve">.  Jack Kerr commented that in future colleges would be required to report </w:t>
      </w:r>
      <w:r w:rsidR="00DC7540">
        <w:rPr>
          <w:rFonts w:eastAsia="Times New Roman" w:cstheme="minorHAnsi"/>
        </w:rPr>
        <w:t xml:space="preserve">further </w:t>
      </w:r>
      <w:r w:rsidR="005A3833">
        <w:rPr>
          <w:rFonts w:eastAsia="Times New Roman" w:cstheme="minorHAnsi"/>
        </w:rPr>
        <w:t>on their sustainability activities.</w:t>
      </w:r>
      <w:r w:rsidR="003A2DC6">
        <w:rPr>
          <w:rFonts w:eastAsia="Times New Roman" w:cstheme="minorHAnsi"/>
        </w:rPr>
        <w:t xml:space="preserve"> Iain Clark referred to the Job Evaluation</w:t>
      </w:r>
      <w:r w:rsidR="00EC1502">
        <w:rPr>
          <w:rFonts w:eastAsia="Times New Roman" w:cstheme="minorHAnsi"/>
        </w:rPr>
        <w:t xml:space="preserve"> change in accounting which was later superseded.</w:t>
      </w:r>
    </w:p>
    <w:p w:rsidR="00910FFF" w:rsidRDefault="00910FFF" w:rsidP="00910FFF">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474196" w:rsidRDefault="005A383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9.  </w:t>
      </w:r>
      <w:r w:rsidR="004F1932">
        <w:rPr>
          <w:rFonts w:eastAsia="Times New Roman" w:cstheme="minorHAnsi"/>
          <w:b/>
        </w:rPr>
        <w:t xml:space="preserve">Audit Scotland </w:t>
      </w:r>
      <w:r>
        <w:rPr>
          <w:rFonts w:eastAsia="Times New Roman" w:cstheme="minorHAnsi"/>
          <w:b/>
        </w:rPr>
        <w:t>Report ‘Scotland’s Colleges 2024’</w:t>
      </w:r>
      <w:r w:rsidR="004F1932">
        <w:rPr>
          <w:rFonts w:eastAsia="Times New Roman" w:cstheme="minorHAnsi"/>
          <w:b/>
        </w:rPr>
        <w:t>:</w:t>
      </w:r>
      <w:r>
        <w:rPr>
          <w:rFonts w:eastAsia="Times New Roman" w:cstheme="minorHAnsi"/>
          <w:b/>
        </w:rPr>
        <w:t xml:space="preserve">  </w:t>
      </w:r>
    </w:p>
    <w:p w:rsidR="00474196" w:rsidRDefault="00474196"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4F1932" w:rsidRDefault="00474196"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9.1 </w:t>
      </w:r>
      <w:r w:rsidR="005A3833">
        <w:rPr>
          <w:rFonts w:eastAsia="Times New Roman" w:cstheme="minorHAnsi"/>
          <w:b/>
        </w:rPr>
        <w:t>She</w:t>
      </w:r>
      <w:r>
        <w:rPr>
          <w:rFonts w:eastAsia="Times New Roman" w:cstheme="minorHAnsi"/>
          <w:b/>
        </w:rPr>
        <w:t>lagh</w:t>
      </w:r>
      <w:r w:rsidR="005A3833">
        <w:rPr>
          <w:rFonts w:eastAsia="Times New Roman" w:cstheme="minorHAnsi"/>
          <w:b/>
        </w:rPr>
        <w:t xml:space="preserve"> Stewart (Audit Scotland Audit Manager) </w:t>
      </w:r>
      <w:r w:rsidR="005A3833">
        <w:rPr>
          <w:rFonts w:eastAsia="Times New Roman" w:cstheme="minorHAnsi"/>
        </w:rPr>
        <w:t>spoke to the Audit Scotland Report and noted the key messages:</w:t>
      </w:r>
    </w:p>
    <w:p w:rsidR="005A3833" w:rsidRDefault="005A3833" w:rsidP="005A3833">
      <w:pPr>
        <w:pStyle w:val="ListParagraph"/>
        <w:numPr>
          <w:ilvl w:val="0"/>
          <w:numId w:val="32"/>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College funding had decreased by £32.7m in cash terms in 24/25.  Colleges are forecasting reduction in cash balances which could risk them continuing in their present form.</w:t>
      </w:r>
    </w:p>
    <w:p w:rsidR="005A3833" w:rsidRDefault="005A3833" w:rsidP="005A3833">
      <w:pPr>
        <w:pStyle w:val="ListParagraph"/>
        <w:numPr>
          <w:ilvl w:val="0"/>
          <w:numId w:val="32"/>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Colleges are reducing staffing through voluntary severance schemes.</w:t>
      </w:r>
    </w:p>
    <w:p w:rsidR="005A3833" w:rsidRDefault="005A3833" w:rsidP="005A3833">
      <w:pPr>
        <w:pStyle w:val="ListParagraph"/>
        <w:numPr>
          <w:ilvl w:val="0"/>
          <w:numId w:val="32"/>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The financial pressures and reduction in staffing may prevent colleges delivering the services they have in the past.</w:t>
      </w:r>
    </w:p>
    <w:p w:rsidR="005A3833" w:rsidRDefault="008808BD" w:rsidP="005A3833">
      <w:pPr>
        <w:pStyle w:val="ListParagraph"/>
        <w:numPr>
          <w:ilvl w:val="0"/>
          <w:numId w:val="32"/>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Reform of the post school education landscape and associated revised funding model have not yet been implemented further hindering college development and innovation.</w:t>
      </w:r>
    </w:p>
    <w:p w:rsidR="00474196" w:rsidRDefault="00474196"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B06451" w:rsidRDefault="00474196"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w:t>
      </w:r>
      <w:r>
        <w:rPr>
          <w:rFonts w:eastAsia="Times New Roman" w:cstheme="minorHAnsi"/>
          <w:b/>
        </w:rPr>
        <w:t>2</w:t>
      </w:r>
      <w:r>
        <w:rPr>
          <w:rFonts w:eastAsia="Times New Roman" w:cstheme="minorHAnsi"/>
        </w:rPr>
        <w:t xml:space="preserve"> </w:t>
      </w:r>
      <w:r w:rsidR="00B06451">
        <w:rPr>
          <w:rFonts w:eastAsia="Times New Roman" w:cstheme="minorHAnsi"/>
        </w:rPr>
        <w:t>Audit Scotland sought clarity from SFC on their expectations of colleges and implementation of the reform of the colleges/schools</w:t>
      </w:r>
      <w:r>
        <w:rPr>
          <w:rFonts w:eastAsia="Times New Roman" w:cstheme="minorHAnsi"/>
        </w:rPr>
        <w:t>’</w:t>
      </w:r>
      <w:r w:rsidR="00B06451">
        <w:rPr>
          <w:rFonts w:eastAsia="Times New Roman" w:cstheme="minorHAnsi"/>
        </w:rPr>
        <w:t xml:space="preserve"> landscape.</w:t>
      </w:r>
    </w:p>
    <w:p w:rsidR="00474196" w:rsidRDefault="00474196"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B06451" w:rsidRDefault="00474196"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9.3</w:t>
      </w:r>
      <w:r>
        <w:rPr>
          <w:rFonts w:eastAsia="Times New Roman" w:cstheme="minorHAnsi"/>
        </w:rPr>
        <w:t xml:space="preserve"> </w:t>
      </w:r>
      <w:r w:rsidR="00B06451">
        <w:rPr>
          <w:rFonts w:eastAsia="Times New Roman" w:cstheme="minorHAnsi"/>
        </w:rPr>
        <w:t>The ARC was advised that this report had been discussed at the Parliamentary Audit Committee (PAC) and the recommendations accepted by the Scottish Government and SFC.</w:t>
      </w:r>
      <w:r>
        <w:rPr>
          <w:rFonts w:eastAsia="Times New Roman" w:cstheme="minorHAnsi"/>
        </w:rPr>
        <w:t xml:space="preserve"> </w:t>
      </w:r>
      <w:r w:rsidR="00B06451">
        <w:rPr>
          <w:rFonts w:eastAsia="Times New Roman" w:cstheme="minorHAnsi"/>
        </w:rPr>
        <w:t>Yvonne Finlayson asked what Audit Scotland viewed as next steps.  She</w:t>
      </w:r>
      <w:r>
        <w:rPr>
          <w:rFonts w:eastAsia="Times New Roman" w:cstheme="minorHAnsi"/>
        </w:rPr>
        <w:t>lagh</w:t>
      </w:r>
      <w:r w:rsidR="00B06451">
        <w:rPr>
          <w:rFonts w:eastAsia="Times New Roman" w:cstheme="minorHAnsi"/>
        </w:rPr>
        <w:t xml:space="preserve"> Stewar</w:t>
      </w:r>
      <w:r>
        <w:rPr>
          <w:rFonts w:eastAsia="Times New Roman" w:cstheme="minorHAnsi"/>
        </w:rPr>
        <w:t>t</w:t>
      </w:r>
      <w:r w:rsidR="00B06451">
        <w:rPr>
          <w:rFonts w:eastAsia="Times New Roman" w:cstheme="minorHAnsi"/>
        </w:rPr>
        <w:t xml:space="preserve"> said that Audit Scotland had still to decide its next actions but that it will report again next year on financial sustainability issues in the sector.</w:t>
      </w:r>
      <w:r>
        <w:rPr>
          <w:rFonts w:eastAsia="Times New Roman" w:cstheme="minorHAnsi"/>
        </w:rPr>
        <w:t xml:space="preserve"> Tricia Meldrum, </w:t>
      </w:r>
      <w:r w:rsidR="00B06451" w:rsidRPr="00B06451">
        <w:rPr>
          <w:rFonts w:eastAsia="Times New Roman" w:cstheme="minorHAnsi"/>
        </w:rPr>
        <w:t>Audit Scotland, said they would see what</w:t>
      </w:r>
      <w:r w:rsidR="007C3C77">
        <w:rPr>
          <w:rFonts w:eastAsia="Times New Roman" w:cstheme="minorHAnsi"/>
        </w:rPr>
        <w:t xml:space="preserve"> action</w:t>
      </w:r>
      <w:r w:rsidR="00B06451" w:rsidRPr="00B06451">
        <w:rPr>
          <w:rFonts w:eastAsia="Times New Roman" w:cstheme="minorHAnsi"/>
        </w:rPr>
        <w:t xml:space="preserve"> the PAC </w:t>
      </w:r>
      <w:r w:rsidR="007C3C77">
        <w:rPr>
          <w:rFonts w:eastAsia="Times New Roman" w:cstheme="minorHAnsi"/>
        </w:rPr>
        <w:t>required before the Auditor General decides a way forward.</w:t>
      </w:r>
    </w:p>
    <w:p w:rsidR="007C3C77" w:rsidRDefault="007C3C77"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color w:val="FF0000"/>
        </w:rPr>
      </w:pPr>
    </w:p>
    <w:p w:rsidR="00CF1FB8" w:rsidRPr="00CF1FB8" w:rsidRDefault="00CF1FB8" w:rsidP="00CF1FB8">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sidRPr="00CF1FB8">
        <w:rPr>
          <w:rFonts w:eastAsia="Times New Roman" w:cstheme="minorHAnsi"/>
          <w:b/>
        </w:rPr>
        <w:lastRenderedPageBreak/>
        <w:t>Note: Shelagh Stewart and Tricia Meldrum left the meeting after their presentation.</w:t>
      </w:r>
    </w:p>
    <w:p w:rsidR="00CF1FB8" w:rsidRDefault="00CF1FB8"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color w:val="FF0000"/>
        </w:rPr>
      </w:pPr>
    </w:p>
    <w:p w:rsidR="007C3C77" w:rsidRDefault="00474196"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474196">
        <w:rPr>
          <w:rFonts w:eastAsia="Times New Roman" w:cstheme="minorHAnsi"/>
          <w:b/>
        </w:rPr>
        <w:t>9.4</w:t>
      </w:r>
      <w:r>
        <w:rPr>
          <w:rFonts w:eastAsia="Times New Roman" w:cstheme="minorHAnsi"/>
        </w:rPr>
        <w:t xml:space="preserve"> </w:t>
      </w:r>
      <w:r w:rsidR="007C3C77" w:rsidRPr="007C3C77">
        <w:rPr>
          <w:rFonts w:eastAsia="Times New Roman" w:cstheme="minorHAnsi"/>
        </w:rPr>
        <w:t xml:space="preserve">Ronnie Smith </w:t>
      </w:r>
      <w:r>
        <w:rPr>
          <w:rFonts w:eastAsia="Times New Roman" w:cstheme="minorHAnsi"/>
        </w:rPr>
        <w:t xml:space="preserve">welcomed the report and the interest being shown by the Auditor General in the financial situation the college sector is in and </w:t>
      </w:r>
      <w:r w:rsidR="007C3C77">
        <w:rPr>
          <w:rFonts w:eastAsia="Times New Roman" w:cstheme="minorHAnsi"/>
        </w:rPr>
        <w:t xml:space="preserve">noted that the report clearly defined the </w:t>
      </w:r>
      <w:r w:rsidR="005E2BA5">
        <w:rPr>
          <w:rFonts w:eastAsia="Times New Roman" w:cstheme="minorHAnsi"/>
        </w:rPr>
        <w:t>major issues of concern in the sector</w:t>
      </w:r>
      <w:r w:rsidR="00EC1502">
        <w:rPr>
          <w:rFonts w:eastAsia="Times New Roman" w:cstheme="minorHAnsi"/>
        </w:rPr>
        <w:t>, including Government action,</w:t>
      </w:r>
      <w:r w:rsidR="005E2BA5">
        <w:rPr>
          <w:rFonts w:eastAsia="Times New Roman" w:cstheme="minorHAnsi"/>
        </w:rPr>
        <w:t xml:space="preserve"> but that these issues were not new.  Because of the funding model the sector had not been encouraged to work collaboratively.  Stella McManus agreed and added that while major consultations on the sector had taken place over the summer, no indication of the outcome of any of them had been intimated to colleges.  The sector needs to be made aware of the consultations before being able to move forward and develop new working partnerships.</w:t>
      </w:r>
    </w:p>
    <w:p w:rsidR="005E2BA5" w:rsidRDefault="005E2BA5"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5E2BA5" w:rsidRDefault="00345C11"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345C11">
        <w:rPr>
          <w:rFonts w:eastAsia="Times New Roman" w:cstheme="minorHAnsi"/>
          <w:b/>
        </w:rPr>
        <w:t>9.5</w:t>
      </w:r>
      <w:r>
        <w:rPr>
          <w:rFonts w:eastAsia="Times New Roman" w:cstheme="minorHAnsi"/>
        </w:rPr>
        <w:t xml:space="preserve"> </w:t>
      </w:r>
      <w:r w:rsidR="005E2BA5">
        <w:rPr>
          <w:rFonts w:eastAsia="Times New Roman" w:cstheme="minorHAnsi"/>
        </w:rPr>
        <w:t>Christopher Moore made 2 points:</w:t>
      </w:r>
    </w:p>
    <w:p w:rsidR="00345C11" w:rsidRDefault="00345C11" w:rsidP="00B06451">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5E2BA5" w:rsidRDefault="005E2BA5" w:rsidP="005E2BA5">
      <w:pPr>
        <w:pStyle w:val="ListParagraph"/>
        <w:numPr>
          <w:ilvl w:val="0"/>
          <w:numId w:val="33"/>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That the general content is clear and sensible;</w:t>
      </w:r>
    </w:p>
    <w:p w:rsidR="0028194E" w:rsidRPr="0028194E" w:rsidRDefault="00345C11" w:rsidP="0028194E">
      <w:pPr>
        <w:pStyle w:val="ListParagraph"/>
        <w:numPr>
          <w:ilvl w:val="0"/>
          <w:numId w:val="33"/>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However, he referred to P13 and the emphasis in the section on NCL about VS and a precarious liquidity position. There was no context to these negative statements although </w:t>
      </w:r>
      <w:r w:rsidR="00EC1502">
        <w:rPr>
          <w:rFonts w:eastAsia="Times New Roman" w:cstheme="minorHAnsi"/>
        </w:rPr>
        <w:t xml:space="preserve">numerous </w:t>
      </w:r>
      <w:r>
        <w:rPr>
          <w:rFonts w:eastAsia="Times New Roman" w:cstheme="minorHAnsi"/>
        </w:rPr>
        <w:t xml:space="preserve">attempts had been made by the NCL Chief Resources Officer </w:t>
      </w:r>
      <w:r w:rsidR="00806ACE">
        <w:rPr>
          <w:rFonts w:eastAsia="Times New Roman" w:cstheme="minorHAnsi"/>
        </w:rPr>
        <w:t xml:space="preserve">to </w:t>
      </w:r>
      <w:r>
        <w:rPr>
          <w:rFonts w:eastAsia="Times New Roman" w:cstheme="minorHAnsi"/>
        </w:rPr>
        <w:t>have context included</w:t>
      </w:r>
      <w:r w:rsidR="00EC1502">
        <w:rPr>
          <w:rFonts w:eastAsia="Times New Roman" w:cstheme="minorHAnsi"/>
        </w:rPr>
        <w:t xml:space="preserve">, alongside the </w:t>
      </w:r>
      <w:r w:rsidR="00342BA3">
        <w:rPr>
          <w:rFonts w:eastAsia="Times New Roman" w:cstheme="minorHAnsi"/>
        </w:rPr>
        <w:t xml:space="preserve">inclusion </w:t>
      </w:r>
      <w:r w:rsidR="00EC1502">
        <w:rPr>
          <w:rFonts w:eastAsia="Times New Roman" w:cstheme="minorHAnsi"/>
        </w:rPr>
        <w:t xml:space="preserve">of </w:t>
      </w:r>
      <w:proofErr w:type="spellStart"/>
      <w:r w:rsidR="00EC1502">
        <w:rPr>
          <w:rFonts w:eastAsia="Times New Roman" w:cstheme="minorHAnsi"/>
        </w:rPr>
        <w:t>Amcol’s</w:t>
      </w:r>
      <w:proofErr w:type="spellEnd"/>
      <w:r w:rsidR="00EC1502">
        <w:rPr>
          <w:rFonts w:eastAsia="Times New Roman" w:cstheme="minorHAnsi"/>
        </w:rPr>
        <w:t xml:space="preserve"> figures</w:t>
      </w:r>
      <w:r>
        <w:rPr>
          <w:rFonts w:eastAsia="Times New Roman" w:cstheme="minorHAnsi"/>
        </w:rPr>
        <w:t xml:space="preserve">. </w:t>
      </w:r>
      <w:r w:rsidR="0028194E">
        <w:rPr>
          <w:rFonts w:eastAsia="Times New Roman" w:cstheme="minorHAnsi"/>
        </w:rPr>
        <w:t xml:space="preserve">NCL’s deficit </w:t>
      </w:r>
      <w:r w:rsidR="002A367B">
        <w:rPr>
          <w:rFonts w:eastAsia="Times New Roman" w:cstheme="minorHAnsi"/>
        </w:rPr>
        <w:t xml:space="preserve">(in AY 22/23) </w:t>
      </w:r>
      <w:r w:rsidR="0028194E">
        <w:rPr>
          <w:rFonts w:eastAsia="Times New Roman" w:cstheme="minorHAnsi"/>
        </w:rPr>
        <w:t>had been linked to reshaping the workforce over the last 4 years.  All 4 of the voluntary severance schemes had been funded by the college.  The year on year cost was significant.  Such reports need to recognise why (deficit) situations occur;  NCL has lost roughly 20% of its staff over the last 4 years.  The impact on individuals has been significant</w:t>
      </w:r>
      <w:r w:rsidR="00806ACE">
        <w:rPr>
          <w:rFonts w:eastAsia="Times New Roman" w:cstheme="minorHAnsi"/>
        </w:rPr>
        <w:t>. There are many people doing excellent work and the impact of naming colleges without any context of the wider situation is unhelpful and detrimental to a positive work ethic. Christopher Moore said that there is a responsibility to have awareness of the impact of such a report on the mental health of those striving to do their best for the students. Staff had come into his office very worried about their jobs after the publication of the report.</w:t>
      </w:r>
    </w:p>
    <w:p w:rsidR="00345C11" w:rsidRDefault="00345C11" w:rsidP="0028194E">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28194E" w:rsidRPr="0028194E" w:rsidRDefault="00806ACE" w:rsidP="0028194E">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9.6</w:t>
      </w:r>
      <w:r>
        <w:rPr>
          <w:rFonts w:eastAsia="Times New Roman" w:cstheme="minorHAnsi"/>
        </w:rPr>
        <w:t xml:space="preserve"> </w:t>
      </w:r>
      <w:r w:rsidR="0028194E">
        <w:rPr>
          <w:rFonts w:eastAsia="Times New Roman" w:cstheme="minorHAnsi"/>
        </w:rPr>
        <w:t>Yvonne Finlayson asked where the guidance will come from to help colleges out of this situation and again commented on the credit funding model which encourages competition, not collaboration.  Yvonne then remarked on the impact of the report and how it affects college staff providing a positive experience for students.  Ronnie Smith noted that colleges need targets and objectives from the Scottish Government and SFC to work towards.</w:t>
      </w:r>
      <w:r>
        <w:rPr>
          <w:rFonts w:eastAsia="Times New Roman" w:cstheme="minorHAnsi"/>
        </w:rPr>
        <w:t xml:space="preserve"> </w:t>
      </w:r>
      <w:r w:rsidR="0028194E">
        <w:rPr>
          <w:rFonts w:eastAsia="Times New Roman" w:cstheme="minorHAnsi"/>
        </w:rPr>
        <w:t>Iain Clark said that pre</w:t>
      </w:r>
      <w:r w:rsidR="001058A4">
        <w:rPr>
          <w:rFonts w:eastAsia="Times New Roman" w:cstheme="minorHAnsi"/>
        </w:rPr>
        <w:t>-</w:t>
      </w:r>
      <w:r w:rsidR="0028194E">
        <w:rPr>
          <w:rFonts w:eastAsia="Times New Roman" w:cstheme="minorHAnsi"/>
        </w:rPr>
        <w:t>publication Audit Scotland should go back to colleges being named negatively to give them opportunity to provide background/context</w:t>
      </w:r>
      <w:r w:rsidR="00EC1502">
        <w:rPr>
          <w:rFonts w:eastAsia="Times New Roman" w:cstheme="minorHAnsi"/>
        </w:rPr>
        <w:t xml:space="preserve"> as opposed to simply number checking</w:t>
      </w:r>
      <w:r w:rsidR="001058A4">
        <w:rPr>
          <w:rFonts w:eastAsia="Times New Roman" w:cstheme="minorHAnsi"/>
        </w:rPr>
        <w:t>.</w:t>
      </w:r>
    </w:p>
    <w:p w:rsidR="005A3833" w:rsidRDefault="005A383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1058A4" w:rsidRDefault="00806ACE"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06ACE">
        <w:rPr>
          <w:rFonts w:eastAsia="Times New Roman" w:cstheme="minorHAnsi"/>
          <w:b/>
        </w:rPr>
        <w:t>9.7</w:t>
      </w:r>
      <w:r>
        <w:rPr>
          <w:rFonts w:eastAsia="Times New Roman" w:cstheme="minorHAnsi"/>
        </w:rPr>
        <w:t xml:space="preserve"> Jack Kerr said that some of the points in the Auditor General’s report referencing NCL came from the Audit Scotland Annual Audit report in 22/23. The Auditor General’s report draws on the Annual Audits of the previous year so there is a direct link </w:t>
      </w:r>
      <w:r w:rsidR="00CE27A3">
        <w:rPr>
          <w:rFonts w:eastAsia="Times New Roman" w:cstheme="minorHAnsi"/>
        </w:rPr>
        <w:t xml:space="preserve">between them. Iain Clark </w:t>
      </w:r>
      <w:r w:rsidR="00EC1502">
        <w:rPr>
          <w:rFonts w:eastAsia="Times New Roman" w:cstheme="minorHAnsi"/>
        </w:rPr>
        <w:t>recognised this</w:t>
      </w:r>
      <w:r w:rsidR="00CE27A3">
        <w:rPr>
          <w:rFonts w:eastAsia="Times New Roman" w:cstheme="minorHAnsi"/>
        </w:rPr>
        <w:t xml:space="preserve">, however, </w:t>
      </w:r>
      <w:r w:rsidR="00EC1502">
        <w:rPr>
          <w:rFonts w:eastAsia="Times New Roman" w:cstheme="minorHAnsi"/>
        </w:rPr>
        <w:t xml:space="preserve">there is </w:t>
      </w:r>
      <w:r w:rsidR="00CE27A3">
        <w:rPr>
          <w:rFonts w:eastAsia="Times New Roman" w:cstheme="minorHAnsi"/>
        </w:rPr>
        <w:t xml:space="preserve">context </w:t>
      </w:r>
      <w:r w:rsidR="00EC1502">
        <w:rPr>
          <w:rFonts w:eastAsia="Times New Roman" w:cstheme="minorHAnsi"/>
        </w:rPr>
        <w:t xml:space="preserve">and opinion </w:t>
      </w:r>
      <w:r w:rsidR="00CE27A3">
        <w:rPr>
          <w:rFonts w:eastAsia="Times New Roman" w:cstheme="minorHAnsi"/>
        </w:rPr>
        <w:t>in the Annual Audit Reports</w:t>
      </w:r>
      <w:r w:rsidR="00EC1502">
        <w:rPr>
          <w:rFonts w:eastAsia="Times New Roman" w:cstheme="minorHAnsi"/>
        </w:rPr>
        <w:t xml:space="preserve"> that helps understanding</w:t>
      </w:r>
      <w:r w:rsidR="00CE27A3">
        <w:rPr>
          <w:rFonts w:eastAsia="Times New Roman" w:cstheme="minorHAnsi"/>
        </w:rPr>
        <w:t>.</w:t>
      </w:r>
      <w:r>
        <w:rPr>
          <w:rFonts w:eastAsia="Times New Roman" w:cstheme="minorHAnsi"/>
        </w:rPr>
        <w:t xml:space="preserve"> </w:t>
      </w:r>
      <w:r w:rsidR="001058A4">
        <w:rPr>
          <w:rFonts w:eastAsia="Times New Roman" w:cstheme="minorHAnsi"/>
        </w:rPr>
        <w:t>Louisa Yule thanked the ARC for their feedback.</w:t>
      </w:r>
    </w:p>
    <w:p w:rsidR="00B03C67" w:rsidRDefault="00B03C67"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CF1FB8" w:rsidRPr="00B03C67" w:rsidRDefault="00B03C67" w:rsidP="00B03C67">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B03C67">
        <w:rPr>
          <w:rFonts w:eastAsia="Times New Roman" w:cstheme="minorHAnsi"/>
          <w:b/>
          <w:i/>
        </w:rPr>
        <w:t>Action: Ronnie Smith would write to the Auditor General about the point raised about the lack of context and the impact of negative statements without context.</w:t>
      </w:r>
    </w:p>
    <w:p w:rsidR="00B03C67" w:rsidRDefault="00B03C67"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5A3833" w:rsidRDefault="00346FD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10. </w:t>
      </w:r>
      <w:r w:rsidR="00466D31">
        <w:rPr>
          <w:rFonts w:eastAsia="Times New Roman" w:cstheme="minorHAnsi"/>
          <w:b/>
        </w:rPr>
        <w:t xml:space="preserve">NCL </w:t>
      </w:r>
      <w:r w:rsidR="00FA0C3B">
        <w:rPr>
          <w:rFonts w:eastAsia="Times New Roman" w:cstheme="minorHAnsi"/>
          <w:b/>
        </w:rPr>
        <w:t xml:space="preserve">and Consolidated </w:t>
      </w:r>
      <w:r w:rsidR="00466D31">
        <w:rPr>
          <w:rFonts w:eastAsia="Times New Roman" w:cstheme="minorHAnsi"/>
          <w:b/>
        </w:rPr>
        <w:t xml:space="preserve">Annual </w:t>
      </w:r>
      <w:r w:rsidR="005A3833" w:rsidRPr="00346FDB">
        <w:rPr>
          <w:rFonts w:eastAsia="Times New Roman" w:cstheme="minorHAnsi"/>
          <w:b/>
        </w:rPr>
        <w:t>Accounts</w:t>
      </w:r>
    </w:p>
    <w:p w:rsidR="00CE27A3" w:rsidRPr="00CE27A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CE27A3" w:rsidRDefault="005A383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346FDB">
        <w:rPr>
          <w:rFonts w:eastAsia="Times New Roman" w:cstheme="minorHAnsi"/>
          <w:b/>
        </w:rPr>
        <w:t xml:space="preserve">10.1 </w:t>
      </w:r>
      <w:r w:rsidR="0016785A">
        <w:rPr>
          <w:rFonts w:eastAsia="Times New Roman" w:cstheme="minorHAnsi"/>
          <w:b/>
        </w:rPr>
        <w:t xml:space="preserve">Draft </w:t>
      </w:r>
      <w:r w:rsidR="00346FDB">
        <w:rPr>
          <w:rFonts w:eastAsia="Times New Roman" w:cstheme="minorHAnsi"/>
          <w:b/>
        </w:rPr>
        <w:t>Annual Audit Report 2023/</w:t>
      </w:r>
      <w:r w:rsidR="00346FDB" w:rsidRPr="0016785A">
        <w:rPr>
          <w:rFonts w:eastAsia="Times New Roman" w:cstheme="minorHAnsi"/>
        </w:rPr>
        <w:t>24</w:t>
      </w:r>
      <w:r w:rsidR="00CE27A3">
        <w:rPr>
          <w:rFonts w:eastAsia="Times New Roman" w:cstheme="minorHAnsi"/>
        </w:rPr>
        <w:t>:</w:t>
      </w:r>
      <w:r w:rsidR="00F854D6" w:rsidRPr="0016785A">
        <w:rPr>
          <w:rFonts w:eastAsia="Times New Roman" w:cstheme="minorHAnsi"/>
        </w:rPr>
        <w:t xml:space="preserve">  Louisa Yule prese</w:t>
      </w:r>
      <w:r w:rsidR="0016785A" w:rsidRPr="0016785A">
        <w:rPr>
          <w:rFonts w:eastAsia="Times New Roman" w:cstheme="minorHAnsi"/>
        </w:rPr>
        <w:t xml:space="preserve">nted the covering letter which accompanied the NCL Annual Audit Report and said that she expected to be able to issue the final report </w:t>
      </w:r>
      <w:r w:rsidR="00CE27A3">
        <w:rPr>
          <w:rFonts w:eastAsia="Times New Roman" w:cstheme="minorHAnsi"/>
        </w:rPr>
        <w:t xml:space="preserve">for </w:t>
      </w:r>
      <w:r w:rsidR="0016785A" w:rsidRPr="0016785A">
        <w:rPr>
          <w:rFonts w:eastAsia="Times New Roman" w:cstheme="minorHAnsi"/>
        </w:rPr>
        <w:t xml:space="preserve">the RSB </w:t>
      </w:r>
      <w:r w:rsidR="00CE27A3">
        <w:rPr>
          <w:rFonts w:eastAsia="Times New Roman" w:cstheme="minorHAnsi"/>
        </w:rPr>
        <w:t xml:space="preserve">meeting </w:t>
      </w:r>
      <w:r w:rsidR="0016785A" w:rsidRPr="0016785A">
        <w:rPr>
          <w:rFonts w:eastAsia="Times New Roman" w:cstheme="minorHAnsi"/>
        </w:rPr>
        <w:t>on 10</w:t>
      </w:r>
      <w:r w:rsidR="002A367B">
        <w:rPr>
          <w:rFonts w:eastAsia="Times New Roman" w:cstheme="minorHAnsi"/>
        </w:rPr>
        <w:t> </w:t>
      </w:r>
      <w:r w:rsidR="0016785A" w:rsidRPr="0016785A">
        <w:rPr>
          <w:rFonts w:eastAsia="Times New Roman" w:cstheme="minorHAnsi"/>
        </w:rPr>
        <w:t>December 2024</w:t>
      </w:r>
      <w:r w:rsidR="0016785A">
        <w:rPr>
          <w:rFonts w:eastAsia="Times New Roman" w:cstheme="minorHAnsi"/>
        </w:rPr>
        <w:t xml:space="preserve"> </w:t>
      </w:r>
      <w:r w:rsidR="00CE27A3">
        <w:rPr>
          <w:rFonts w:eastAsia="Times New Roman" w:cstheme="minorHAnsi"/>
        </w:rPr>
        <w:t xml:space="preserve">in the next couple of days </w:t>
      </w:r>
      <w:r w:rsidR="0016785A">
        <w:rPr>
          <w:rFonts w:eastAsia="Times New Roman" w:cstheme="minorHAnsi"/>
        </w:rPr>
        <w:t>subject to a few minor amendments.</w:t>
      </w:r>
      <w:r w:rsidR="00EF0ABF">
        <w:rPr>
          <w:rFonts w:eastAsia="Times New Roman" w:cstheme="minorHAnsi"/>
        </w:rPr>
        <w:t xml:space="preserve"> She said that she expected to be able to issue an unmodified opinion on the accounts. She noted that the outstanding matters set out in paragraph 10 have now been cleared.</w:t>
      </w:r>
    </w:p>
    <w:p w:rsidR="00EF0ABF" w:rsidRDefault="00EF0AB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16785A"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lastRenderedPageBreak/>
        <w:t>10.2</w:t>
      </w:r>
      <w:r>
        <w:rPr>
          <w:rFonts w:eastAsia="Times New Roman" w:cstheme="minorHAnsi"/>
        </w:rPr>
        <w:t xml:space="preserve"> </w:t>
      </w:r>
      <w:r w:rsidR="0016785A">
        <w:rPr>
          <w:rFonts w:eastAsia="Times New Roman" w:cstheme="minorHAnsi"/>
        </w:rPr>
        <w:t xml:space="preserve">Louisa commented that </w:t>
      </w:r>
      <w:r w:rsidR="00EF0ABF">
        <w:rPr>
          <w:rFonts w:eastAsia="Times New Roman" w:cstheme="minorHAnsi"/>
        </w:rPr>
        <w:t>there had been strong and good engagement this year over the audit period and s</w:t>
      </w:r>
      <w:r w:rsidR="0016785A">
        <w:rPr>
          <w:rFonts w:eastAsia="Times New Roman" w:cstheme="minorHAnsi"/>
        </w:rPr>
        <w:t>he thanked the college staff for their positive engagement with the audit process.</w:t>
      </w:r>
    </w:p>
    <w:p w:rsidR="00CE27A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16785A" w:rsidRPr="0016785A"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t>10.3</w:t>
      </w:r>
      <w:r>
        <w:rPr>
          <w:rFonts w:eastAsia="Times New Roman" w:cstheme="minorHAnsi"/>
        </w:rPr>
        <w:t xml:space="preserve"> </w:t>
      </w:r>
      <w:r w:rsidR="009E61E9">
        <w:rPr>
          <w:rFonts w:eastAsia="Times New Roman" w:cstheme="minorHAnsi"/>
        </w:rPr>
        <w:t xml:space="preserve">The Report </w:t>
      </w:r>
      <w:r w:rsidR="00F049E5">
        <w:rPr>
          <w:rFonts w:eastAsia="Times New Roman" w:cstheme="minorHAnsi"/>
        </w:rPr>
        <w:t>has tried to recognise</w:t>
      </w:r>
      <w:r w:rsidR="009E61E9">
        <w:rPr>
          <w:rFonts w:eastAsia="Times New Roman" w:cstheme="minorHAnsi"/>
        </w:rPr>
        <w:t xml:space="preserve"> NCL as a single entity, and NCL with AMCOL figures included</w:t>
      </w:r>
      <w:r w:rsidR="00F049E5">
        <w:rPr>
          <w:rFonts w:eastAsia="Times New Roman" w:cstheme="minorHAnsi"/>
        </w:rPr>
        <w:t xml:space="preserve"> being the NCL Group</w:t>
      </w:r>
      <w:r w:rsidR="009E61E9">
        <w:rPr>
          <w:rFonts w:eastAsia="Times New Roman" w:cstheme="minorHAnsi"/>
        </w:rPr>
        <w:t>.</w:t>
      </w:r>
      <w:r w:rsidR="00F049E5">
        <w:rPr>
          <w:rFonts w:eastAsia="Times New Roman" w:cstheme="minorHAnsi"/>
        </w:rPr>
        <w:t xml:space="preserve"> Regional Group figures include SLC too.</w:t>
      </w:r>
    </w:p>
    <w:p w:rsidR="00CE27A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5A383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t>10.4</w:t>
      </w:r>
      <w:r>
        <w:rPr>
          <w:rFonts w:eastAsia="Times New Roman" w:cstheme="minorHAnsi"/>
        </w:rPr>
        <w:t xml:space="preserve"> </w:t>
      </w:r>
      <w:r w:rsidR="009E61E9" w:rsidRPr="008405FE">
        <w:rPr>
          <w:rFonts w:eastAsia="Times New Roman" w:cstheme="minorHAnsi"/>
        </w:rPr>
        <w:t xml:space="preserve">NCL’s </w:t>
      </w:r>
      <w:r w:rsidR="008405FE" w:rsidRPr="008405FE">
        <w:rPr>
          <w:rFonts w:eastAsia="Times New Roman" w:cstheme="minorHAnsi"/>
        </w:rPr>
        <w:t>underlying operation position has significantly improved from last year: it shows a deficit of (£0.243m) to the year ending 31 July 2024, deficit of (£3.627m) in 2022/23.</w:t>
      </w:r>
      <w:r w:rsidR="008405FE">
        <w:rPr>
          <w:rFonts w:eastAsia="Times New Roman" w:cstheme="minorHAnsi"/>
        </w:rPr>
        <w:t xml:space="preserve">  Including AMCOL </w:t>
      </w:r>
      <w:r w:rsidR="00F049E5">
        <w:rPr>
          <w:rFonts w:eastAsia="Times New Roman" w:cstheme="minorHAnsi"/>
        </w:rPr>
        <w:t xml:space="preserve">(£527k surplus) </w:t>
      </w:r>
      <w:r w:rsidR="008405FE">
        <w:rPr>
          <w:rFonts w:eastAsia="Times New Roman" w:cstheme="minorHAnsi"/>
        </w:rPr>
        <w:t xml:space="preserve">the college </w:t>
      </w:r>
      <w:r w:rsidR="00F049E5">
        <w:rPr>
          <w:rFonts w:eastAsia="Times New Roman" w:cstheme="minorHAnsi"/>
        </w:rPr>
        <w:t xml:space="preserve">group </w:t>
      </w:r>
      <w:r w:rsidR="008405FE">
        <w:rPr>
          <w:rFonts w:eastAsia="Times New Roman" w:cstheme="minorHAnsi"/>
        </w:rPr>
        <w:t>reported an underlying operating surplus of £0.284m to July 2024.</w:t>
      </w:r>
      <w:r w:rsidR="008D31B9">
        <w:rPr>
          <w:rFonts w:eastAsia="Times New Roman" w:cstheme="minorHAnsi"/>
        </w:rPr>
        <w:t xml:space="preserve">  The college is projecting a significant improvement in the underlying operating position of £0.650m surplus in 2024/2025.</w:t>
      </w:r>
    </w:p>
    <w:p w:rsidR="00CE27A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F55AC2" w:rsidRDefault="00F55AC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10.5 </w:t>
      </w:r>
      <w:r w:rsidRPr="00F55AC2">
        <w:rPr>
          <w:rFonts w:eastAsia="Times New Roman" w:cstheme="minorHAnsi"/>
        </w:rPr>
        <w:t>Louisa Yule referred the Committee to Exhibit 3 in the report at P13-16 and this sets out significa</w:t>
      </w:r>
      <w:r w:rsidR="008454C0">
        <w:rPr>
          <w:rFonts w:eastAsia="Times New Roman" w:cstheme="minorHAnsi"/>
        </w:rPr>
        <w:t>n</w:t>
      </w:r>
      <w:r w:rsidRPr="00F55AC2">
        <w:rPr>
          <w:rFonts w:eastAsia="Times New Roman" w:cstheme="minorHAnsi"/>
        </w:rPr>
        <w:t xml:space="preserve">t findings and key audit matters </w:t>
      </w:r>
      <w:r w:rsidR="008454C0">
        <w:rPr>
          <w:rFonts w:eastAsia="Times New Roman" w:cstheme="minorHAnsi"/>
        </w:rPr>
        <w:t>and the resolution in the following areas</w:t>
      </w:r>
      <w:r w:rsidRPr="00F55AC2">
        <w:rPr>
          <w:rFonts w:eastAsia="Times New Roman" w:cstheme="minorHAnsi"/>
        </w:rPr>
        <w:t xml:space="preserve">: </w:t>
      </w:r>
    </w:p>
    <w:p w:rsidR="008454C0" w:rsidRDefault="008454C0"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8454C0">
        <w:rPr>
          <w:rFonts w:eastAsia="Times New Roman" w:cstheme="minorHAnsi"/>
        </w:rPr>
        <w:t>Value of Fixed assets</w:t>
      </w:r>
      <w:r w:rsidR="00021BC4">
        <w:rPr>
          <w:rFonts w:eastAsia="Times New Roman" w:cstheme="minorHAnsi"/>
        </w:rPr>
        <w:t xml:space="preserve"> – finance costs included in the valuation and had to be taken out with subsequent reduction in fixed asset valuation</w:t>
      </w:r>
      <w:r w:rsidR="00C06D6D">
        <w:rPr>
          <w:rFonts w:eastAsia="Times New Roman" w:cstheme="minorHAnsi"/>
        </w:rPr>
        <w:t>.</w:t>
      </w:r>
      <w:r w:rsidR="00F049E5">
        <w:rPr>
          <w:rFonts w:eastAsia="Times New Roman" w:cstheme="minorHAnsi"/>
        </w:rPr>
        <w:t xml:space="preserve"> This was a change to previously accepted valuation methodology.</w:t>
      </w:r>
    </w:p>
    <w:p w:rsid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Land at Motherwell and the Kirkintilloch Campus </w:t>
      </w:r>
      <w:r w:rsidR="00021BC4">
        <w:rPr>
          <w:rFonts w:eastAsia="Times New Roman" w:cstheme="minorHAnsi"/>
        </w:rPr>
        <w:t>– 125 - year lease</w:t>
      </w:r>
      <w:r w:rsidR="00F049E5">
        <w:rPr>
          <w:rFonts w:eastAsia="Times New Roman" w:cstheme="minorHAnsi"/>
        </w:rPr>
        <w:t xml:space="preserve"> at Motherwell</w:t>
      </w:r>
      <w:r w:rsidR="00021BC4">
        <w:rPr>
          <w:rFonts w:eastAsia="Times New Roman" w:cstheme="minorHAnsi"/>
        </w:rPr>
        <w:t xml:space="preserve"> but not owned. </w:t>
      </w:r>
      <w:r w:rsidR="00F049E5">
        <w:rPr>
          <w:rFonts w:eastAsia="Times New Roman" w:cstheme="minorHAnsi"/>
        </w:rPr>
        <w:t xml:space="preserve">Agreed </w:t>
      </w:r>
      <w:r w:rsidR="00342BA3">
        <w:rPr>
          <w:rFonts w:eastAsia="Times New Roman" w:cstheme="minorHAnsi"/>
        </w:rPr>
        <w:t>a</w:t>
      </w:r>
      <w:r w:rsidR="00021BC4">
        <w:rPr>
          <w:rFonts w:eastAsia="Times New Roman" w:cstheme="minorHAnsi"/>
        </w:rPr>
        <w:t xml:space="preserve">ccounting treatment from 2007 </w:t>
      </w:r>
      <w:r w:rsidR="009010A7">
        <w:rPr>
          <w:rFonts w:eastAsia="Times New Roman" w:cstheme="minorHAnsi"/>
        </w:rPr>
        <w:t xml:space="preserve">now </w:t>
      </w:r>
      <w:r w:rsidR="00021BC4">
        <w:rPr>
          <w:rFonts w:eastAsia="Times New Roman" w:cstheme="minorHAnsi"/>
        </w:rPr>
        <w:t xml:space="preserve">changed </w:t>
      </w:r>
      <w:r w:rsidR="009010A7">
        <w:rPr>
          <w:rFonts w:eastAsia="Times New Roman" w:cstheme="minorHAnsi"/>
        </w:rPr>
        <w:t xml:space="preserve">at Audit Scotland direction </w:t>
      </w:r>
      <w:r w:rsidR="00021BC4">
        <w:rPr>
          <w:rFonts w:eastAsia="Times New Roman" w:cstheme="minorHAnsi"/>
        </w:rPr>
        <w:t xml:space="preserve">and subsequent </w:t>
      </w:r>
      <w:r w:rsidR="00C06D6D">
        <w:rPr>
          <w:rFonts w:eastAsia="Times New Roman" w:cstheme="minorHAnsi"/>
        </w:rPr>
        <w:t xml:space="preserve">reduction </w:t>
      </w:r>
      <w:r w:rsidR="00021BC4">
        <w:rPr>
          <w:rFonts w:eastAsia="Times New Roman" w:cstheme="minorHAnsi"/>
        </w:rPr>
        <w:t>on fixed asset valuation</w:t>
      </w:r>
      <w:r w:rsidR="00C06D6D">
        <w:rPr>
          <w:rFonts w:eastAsia="Times New Roman" w:cstheme="minorHAnsi"/>
        </w:rPr>
        <w:t>.</w:t>
      </w:r>
    </w:p>
    <w:p w:rsid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The accounting treatment of job evaluation</w:t>
      </w:r>
      <w:r w:rsidR="00021BC4">
        <w:rPr>
          <w:rFonts w:eastAsia="Times New Roman" w:cstheme="minorHAnsi"/>
        </w:rPr>
        <w:t xml:space="preserve"> – a late accounts directive from the SFC</w:t>
      </w:r>
      <w:r w:rsidR="00C06D6D">
        <w:rPr>
          <w:rFonts w:eastAsia="Times New Roman" w:cstheme="minorHAnsi"/>
        </w:rPr>
        <w:t xml:space="preserve"> changing the accounting treatment</w:t>
      </w:r>
      <w:r w:rsidR="00021BC4">
        <w:rPr>
          <w:rFonts w:eastAsia="Times New Roman" w:cstheme="minorHAnsi"/>
        </w:rPr>
        <w:t xml:space="preserve">. </w:t>
      </w:r>
    </w:p>
    <w:p w:rsid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Accounting for Fixed Assets</w:t>
      </w:r>
      <w:r w:rsidR="00021BC4">
        <w:rPr>
          <w:rFonts w:eastAsia="Times New Roman" w:cstheme="minorHAnsi"/>
        </w:rPr>
        <w:t xml:space="preserve"> – improved record keeping recommended</w:t>
      </w:r>
      <w:r w:rsidR="009010A7">
        <w:rPr>
          <w:rFonts w:eastAsia="Times New Roman" w:cstheme="minorHAnsi"/>
        </w:rPr>
        <w:t xml:space="preserve"> for assets such as laptops in the laptop library.</w:t>
      </w:r>
    </w:p>
    <w:p w:rsid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Pension Provision re future liabilities for early retirees</w:t>
      </w:r>
      <w:r w:rsidR="00C06D6D">
        <w:rPr>
          <w:rFonts w:eastAsia="Times New Roman" w:cstheme="minorHAnsi"/>
        </w:rPr>
        <w:t xml:space="preserve"> – provision revised to account for updated age and life expectancy figures.</w:t>
      </w:r>
    </w:p>
    <w:p w:rsidR="008454C0" w:rsidRPr="008454C0" w:rsidRDefault="008454C0" w:rsidP="008454C0">
      <w:pPr>
        <w:pStyle w:val="ListParagraph"/>
        <w:numPr>
          <w:ilvl w:val="0"/>
          <w:numId w:val="34"/>
        </w:num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Pension Balance</w:t>
      </w:r>
      <w:r w:rsidR="00C06D6D">
        <w:rPr>
          <w:rFonts w:eastAsia="Times New Roman" w:cstheme="minorHAnsi"/>
        </w:rPr>
        <w:t xml:space="preserve"> - revised actuarial valuation to take accounts of pension asset ceiling in the previous year.</w:t>
      </w:r>
    </w:p>
    <w:p w:rsidR="00F55AC2" w:rsidRDefault="00F55AC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DF175B"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t>10.</w:t>
      </w:r>
      <w:r w:rsidR="008454C0">
        <w:rPr>
          <w:rFonts w:eastAsia="Times New Roman" w:cstheme="minorHAnsi"/>
          <w:b/>
        </w:rPr>
        <w:t>6</w:t>
      </w:r>
      <w:r>
        <w:rPr>
          <w:rFonts w:eastAsia="Times New Roman" w:cstheme="minorHAnsi"/>
        </w:rPr>
        <w:t xml:space="preserve"> </w:t>
      </w:r>
      <w:r w:rsidR="00DF175B">
        <w:rPr>
          <w:rFonts w:eastAsia="Times New Roman" w:cstheme="minorHAnsi"/>
        </w:rPr>
        <w:t>The Action Plan in Appendix 1 of the NCL Audit Report details NCL’s response to the auditor’s recommendations in 2023/24.  Many of these have been addressed but a few remain to be completed, in particular a comprehensive Policy Review Register where Audit Scotland recommended the tightening up of version control.  They will comment on action related to the JISC ICT Review in next year’s audit report.</w:t>
      </w:r>
    </w:p>
    <w:p w:rsidR="00D0591F" w:rsidRDefault="00D0591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DF175B" w:rsidRDefault="00D0591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D0591F">
        <w:rPr>
          <w:rFonts w:eastAsia="Times New Roman" w:cstheme="minorHAnsi"/>
          <w:b/>
        </w:rPr>
        <w:t>10.7</w:t>
      </w:r>
      <w:r>
        <w:rPr>
          <w:rFonts w:eastAsia="Times New Roman" w:cstheme="minorHAnsi"/>
        </w:rPr>
        <w:t xml:space="preserve"> </w:t>
      </w:r>
      <w:r w:rsidR="00DF175B">
        <w:rPr>
          <w:rFonts w:eastAsia="Times New Roman" w:cstheme="minorHAnsi"/>
        </w:rPr>
        <w:t xml:space="preserve">Audit Scotland commented that the NCL Action Plan is more positive and innovative than last </w:t>
      </w:r>
      <w:proofErr w:type="gramStart"/>
      <w:r w:rsidR="00DF175B">
        <w:rPr>
          <w:rFonts w:eastAsia="Times New Roman" w:cstheme="minorHAnsi"/>
        </w:rPr>
        <w:t>year’s</w:t>
      </w:r>
      <w:proofErr w:type="gramEnd"/>
      <w:r w:rsidR="00DF175B">
        <w:rPr>
          <w:rFonts w:eastAsia="Times New Roman" w:cstheme="minorHAnsi"/>
        </w:rPr>
        <w:t>.</w:t>
      </w:r>
    </w:p>
    <w:p w:rsidR="00DF175B" w:rsidRDefault="00DF175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rPr>
        <w:t xml:space="preserve">Iain Clark thanked the auditors for their help and collaboration with the annual audit.  He also commented that </w:t>
      </w:r>
      <w:r w:rsidR="008454C0">
        <w:rPr>
          <w:rFonts w:eastAsia="Times New Roman" w:cstheme="minorHAnsi"/>
        </w:rPr>
        <w:t xml:space="preserve">he did not agree with </w:t>
      </w:r>
      <w:r>
        <w:rPr>
          <w:rFonts w:eastAsia="Times New Roman" w:cstheme="minorHAnsi"/>
        </w:rPr>
        <w:t>the</w:t>
      </w:r>
      <w:r w:rsidR="00C921A7">
        <w:rPr>
          <w:rFonts w:eastAsia="Times New Roman" w:cstheme="minorHAnsi"/>
        </w:rPr>
        <w:t xml:space="preserve"> new</w:t>
      </w:r>
      <w:r>
        <w:rPr>
          <w:rFonts w:eastAsia="Times New Roman" w:cstheme="minorHAnsi"/>
        </w:rPr>
        <w:t xml:space="preserve"> </w:t>
      </w:r>
      <w:r w:rsidR="008454C0">
        <w:rPr>
          <w:rFonts w:eastAsia="Times New Roman" w:cstheme="minorHAnsi"/>
        </w:rPr>
        <w:t xml:space="preserve">treatment of </w:t>
      </w:r>
      <w:r w:rsidR="00C921A7">
        <w:rPr>
          <w:rFonts w:eastAsia="Times New Roman" w:cstheme="minorHAnsi"/>
        </w:rPr>
        <w:t xml:space="preserve">the Motherwell land although recognised the counter-position, </w:t>
      </w:r>
      <w:r>
        <w:rPr>
          <w:rFonts w:eastAsia="Times New Roman" w:cstheme="minorHAnsi"/>
        </w:rPr>
        <w:t>job evaluation</w:t>
      </w:r>
      <w:r w:rsidR="008454C0">
        <w:rPr>
          <w:rFonts w:eastAsia="Times New Roman" w:cstheme="minorHAnsi"/>
        </w:rPr>
        <w:t xml:space="preserve"> which had the </w:t>
      </w:r>
      <w:r w:rsidR="00C921A7">
        <w:rPr>
          <w:rFonts w:eastAsia="Times New Roman" w:cstheme="minorHAnsi"/>
        </w:rPr>
        <w:t xml:space="preserve">implied </w:t>
      </w:r>
      <w:r w:rsidR="008454C0">
        <w:rPr>
          <w:rFonts w:eastAsia="Times New Roman" w:cstheme="minorHAnsi"/>
        </w:rPr>
        <w:t xml:space="preserve">potential to shift the responsibility from the SG and create a liability for the colleges </w:t>
      </w:r>
      <w:r w:rsidR="00C921A7">
        <w:rPr>
          <w:rFonts w:eastAsia="Times New Roman" w:cstheme="minorHAnsi"/>
        </w:rPr>
        <w:t xml:space="preserve">with no corresponding asset </w:t>
      </w:r>
      <w:r w:rsidR="008454C0">
        <w:rPr>
          <w:rFonts w:eastAsia="Times New Roman" w:cstheme="minorHAnsi"/>
        </w:rPr>
        <w:t xml:space="preserve">even though they didn’t have the funding which was </w:t>
      </w:r>
      <w:r w:rsidR="00C921A7">
        <w:rPr>
          <w:rFonts w:eastAsia="Times New Roman" w:cstheme="minorHAnsi"/>
        </w:rPr>
        <w:t xml:space="preserve">withheld from Colleges on an annual basis and was now </w:t>
      </w:r>
      <w:r w:rsidR="008454C0">
        <w:rPr>
          <w:rFonts w:eastAsia="Times New Roman" w:cstheme="minorHAnsi"/>
        </w:rPr>
        <w:t xml:space="preserve">being held by the Scottish Government. </w:t>
      </w:r>
      <w:r w:rsidR="00C921A7">
        <w:rPr>
          <w:rFonts w:eastAsia="Times New Roman" w:cstheme="minorHAnsi"/>
        </w:rPr>
        <w:t xml:space="preserve">The balance sheet was significantly weakened too. The College </w:t>
      </w:r>
      <w:r w:rsidR="008454C0">
        <w:rPr>
          <w:rFonts w:eastAsia="Times New Roman" w:cstheme="minorHAnsi"/>
        </w:rPr>
        <w:t xml:space="preserve">was taking legal advice on this point and Christopher </w:t>
      </w:r>
      <w:r w:rsidR="00F049E5">
        <w:rPr>
          <w:rFonts w:eastAsia="Times New Roman" w:cstheme="minorHAnsi"/>
        </w:rPr>
        <w:t xml:space="preserve">provided suggested wording for inclusion in </w:t>
      </w:r>
      <w:r w:rsidR="008454C0">
        <w:rPr>
          <w:rFonts w:eastAsia="Times New Roman" w:cstheme="minorHAnsi"/>
        </w:rPr>
        <w:t xml:space="preserve">the accounts. Elaine McKechnie said that </w:t>
      </w:r>
      <w:r w:rsidR="00B03C67">
        <w:rPr>
          <w:rFonts w:eastAsia="Times New Roman" w:cstheme="minorHAnsi"/>
        </w:rPr>
        <w:t>SLC had the same view on this matter.</w:t>
      </w:r>
    </w:p>
    <w:p w:rsidR="00CE27A3"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264332"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t>10.</w:t>
      </w:r>
      <w:r w:rsidR="00D0591F">
        <w:rPr>
          <w:rFonts w:eastAsia="Times New Roman" w:cstheme="minorHAnsi"/>
          <w:b/>
        </w:rPr>
        <w:t>8</w:t>
      </w:r>
      <w:r>
        <w:rPr>
          <w:rFonts w:eastAsia="Times New Roman" w:cstheme="minorHAnsi"/>
        </w:rPr>
        <w:t xml:space="preserve"> </w:t>
      </w:r>
      <w:r w:rsidR="00DF175B">
        <w:rPr>
          <w:rFonts w:eastAsia="Times New Roman" w:cstheme="minorHAnsi"/>
        </w:rPr>
        <w:t xml:space="preserve">Yvonne Finlayson </w:t>
      </w:r>
      <w:r w:rsidR="00466D31">
        <w:rPr>
          <w:rFonts w:eastAsia="Times New Roman" w:cstheme="minorHAnsi"/>
        </w:rPr>
        <w:t xml:space="preserve">thanked all involved for their significant efforts to pull the </w:t>
      </w:r>
      <w:r w:rsidR="009D4652">
        <w:rPr>
          <w:rFonts w:eastAsia="Times New Roman" w:cstheme="minorHAnsi"/>
        </w:rPr>
        <w:t xml:space="preserve">NCL </w:t>
      </w:r>
      <w:r w:rsidR="00466D31">
        <w:rPr>
          <w:rFonts w:eastAsia="Times New Roman" w:cstheme="minorHAnsi"/>
        </w:rPr>
        <w:t>accounts and audit together</w:t>
      </w:r>
      <w:r w:rsidR="009D4652">
        <w:rPr>
          <w:rFonts w:eastAsia="Times New Roman" w:cstheme="minorHAnsi"/>
        </w:rPr>
        <w:t xml:space="preserve"> as well as producing Consolidated Accounts which also include SLC.</w:t>
      </w:r>
      <w:r w:rsidR="00466D31">
        <w:rPr>
          <w:rFonts w:eastAsia="Times New Roman" w:cstheme="minorHAnsi"/>
        </w:rPr>
        <w:t xml:space="preserve">  On the </w:t>
      </w:r>
      <w:r w:rsidR="009D4652">
        <w:rPr>
          <w:rFonts w:eastAsia="Times New Roman" w:cstheme="minorHAnsi"/>
        </w:rPr>
        <w:t xml:space="preserve">NCL </w:t>
      </w:r>
      <w:r w:rsidR="00466D31">
        <w:rPr>
          <w:rFonts w:eastAsia="Times New Roman" w:cstheme="minorHAnsi"/>
        </w:rPr>
        <w:t>Policy Register she said that there should be a robust system and a report made to the ARC annually.  Elaine Turkington advised that there is a Policy Register held centrally on the CLAN to which all departments have access.  Departments have the responsibility for their own areas</w:t>
      </w:r>
      <w:r w:rsidR="009D4652">
        <w:rPr>
          <w:rFonts w:eastAsia="Times New Roman" w:cstheme="minorHAnsi"/>
        </w:rPr>
        <w:t xml:space="preserve">.  Elaine offered to clarify the position for the auditors.  </w:t>
      </w:r>
      <w:r w:rsidR="00466D31">
        <w:rPr>
          <w:rFonts w:eastAsia="Times New Roman" w:cstheme="minorHAnsi"/>
        </w:rPr>
        <w:t xml:space="preserve">Louisa Yule acknowledged </w:t>
      </w:r>
      <w:r w:rsidR="0034029E">
        <w:rPr>
          <w:rFonts w:eastAsia="Times New Roman" w:cstheme="minorHAnsi"/>
        </w:rPr>
        <w:t xml:space="preserve">this response but added that more clarity would be </w:t>
      </w:r>
      <w:r w:rsidR="009D4652">
        <w:rPr>
          <w:rFonts w:eastAsia="Times New Roman" w:cstheme="minorHAnsi"/>
        </w:rPr>
        <w:t>welcome.</w:t>
      </w:r>
      <w:r w:rsidR="00265786">
        <w:rPr>
          <w:rFonts w:eastAsia="Times New Roman" w:cstheme="minorHAnsi"/>
        </w:rPr>
        <w:t xml:space="preserve"> </w:t>
      </w:r>
      <w:r w:rsidR="0034029E">
        <w:rPr>
          <w:rFonts w:eastAsia="Times New Roman" w:cstheme="minorHAnsi"/>
        </w:rPr>
        <w:t xml:space="preserve">Diane McGill noted that the </w:t>
      </w:r>
      <w:r>
        <w:rPr>
          <w:rFonts w:eastAsia="Times New Roman" w:cstheme="minorHAnsi"/>
        </w:rPr>
        <w:t xml:space="preserve">Board </w:t>
      </w:r>
      <w:r w:rsidR="0034029E">
        <w:rPr>
          <w:rFonts w:eastAsia="Times New Roman" w:cstheme="minorHAnsi"/>
        </w:rPr>
        <w:t>Standing Orders and Scheme of Delegation had been updated since 2016</w:t>
      </w:r>
      <w:r w:rsidR="00743011">
        <w:rPr>
          <w:rFonts w:eastAsia="Times New Roman" w:cstheme="minorHAnsi"/>
        </w:rPr>
        <w:t xml:space="preserve"> </w:t>
      </w:r>
      <w:r w:rsidR="0034029E">
        <w:rPr>
          <w:rFonts w:eastAsia="Times New Roman" w:cstheme="minorHAnsi"/>
        </w:rPr>
        <w:t>and had gone to the Board in June 201</w:t>
      </w:r>
      <w:r>
        <w:rPr>
          <w:rFonts w:eastAsia="Times New Roman" w:cstheme="minorHAnsi"/>
        </w:rPr>
        <w:t>9</w:t>
      </w:r>
      <w:r w:rsidR="0034029E">
        <w:rPr>
          <w:rFonts w:eastAsia="Times New Roman" w:cstheme="minorHAnsi"/>
        </w:rPr>
        <w:t xml:space="preserve"> and in June 2023.</w:t>
      </w:r>
      <w:r w:rsidR="00743011">
        <w:rPr>
          <w:rFonts w:eastAsia="Times New Roman" w:cstheme="minorHAnsi"/>
        </w:rPr>
        <w:t xml:space="preserve">  </w:t>
      </w:r>
      <w:r>
        <w:rPr>
          <w:rFonts w:eastAsia="Times New Roman" w:cstheme="minorHAnsi"/>
        </w:rPr>
        <w:t>They had been updated but it was an older version that was still on the web.</w:t>
      </w:r>
    </w:p>
    <w:p w:rsidR="00CC3767" w:rsidRDefault="00CC3767"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CC3767" w:rsidRPr="00860CAE" w:rsidRDefault="00CC3767" w:rsidP="00860CAE">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860CAE">
        <w:rPr>
          <w:rFonts w:eastAsia="Times New Roman" w:cstheme="minorHAnsi"/>
          <w:b/>
          <w:i/>
        </w:rPr>
        <w:t>Action: There will be discussion</w:t>
      </w:r>
      <w:r w:rsidR="00860CAE" w:rsidRPr="00860CAE">
        <w:rPr>
          <w:rFonts w:eastAsia="Times New Roman" w:cstheme="minorHAnsi"/>
          <w:b/>
          <w:i/>
        </w:rPr>
        <w:t xml:space="preserve"> with the College Registrar and the Board Secretary </w:t>
      </w:r>
      <w:r w:rsidRPr="00860CAE">
        <w:rPr>
          <w:rFonts w:eastAsia="Times New Roman" w:cstheme="minorHAnsi"/>
          <w:b/>
          <w:i/>
        </w:rPr>
        <w:t xml:space="preserve">on bringing the policy register and </w:t>
      </w:r>
      <w:r w:rsidR="00860CAE" w:rsidRPr="00860CAE">
        <w:rPr>
          <w:rFonts w:eastAsia="Times New Roman" w:cstheme="minorHAnsi"/>
          <w:b/>
          <w:i/>
        </w:rPr>
        <w:t>dates for policy review to the ARC on a</w:t>
      </w:r>
      <w:r w:rsidR="00860CAE">
        <w:rPr>
          <w:rFonts w:eastAsia="Times New Roman" w:cstheme="minorHAnsi"/>
          <w:b/>
          <w:i/>
        </w:rPr>
        <w:t>n</w:t>
      </w:r>
      <w:r w:rsidR="00860CAE" w:rsidRPr="00860CAE">
        <w:rPr>
          <w:rFonts w:eastAsia="Times New Roman" w:cstheme="minorHAnsi"/>
          <w:b/>
          <w:i/>
        </w:rPr>
        <w:t xml:space="preserve"> annual basis.</w:t>
      </w:r>
    </w:p>
    <w:p w:rsidR="00FA0C3B" w:rsidRDefault="00FA0C3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FA0C3B" w:rsidRDefault="00CE27A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CE27A3">
        <w:rPr>
          <w:rFonts w:eastAsia="Times New Roman" w:cstheme="minorHAnsi"/>
          <w:b/>
        </w:rPr>
        <w:t>10.</w:t>
      </w:r>
      <w:r w:rsidR="00D0591F">
        <w:rPr>
          <w:rFonts w:eastAsia="Times New Roman" w:cstheme="minorHAnsi"/>
          <w:b/>
        </w:rPr>
        <w:t>9</w:t>
      </w:r>
      <w:r>
        <w:rPr>
          <w:rFonts w:eastAsia="Times New Roman" w:cstheme="minorHAnsi"/>
        </w:rPr>
        <w:t xml:space="preserve"> </w:t>
      </w:r>
      <w:r w:rsidR="00FA0C3B">
        <w:rPr>
          <w:rFonts w:eastAsia="Times New Roman" w:cstheme="minorHAnsi"/>
        </w:rPr>
        <w:t xml:space="preserve">Ronnie Smith said that there was no clear indication from the Scottish Government as yet on their decision regarding the dissolution of the 2 Lanarkshire colleges and therefore whether consolidated accounts </w:t>
      </w:r>
      <w:r w:rsidR="00342BA3">
        <w:rPr>
          <w:rFonts w:eastAsia="Times New Roman" w:cstheme="minorHAnsi"/>
        </w:rPr>
        <w:t>w</w:t>
      </w:r>
      <w:r w:rsidR="00FA0C3B">
        <w:rPr>
          <w:rFonts w:eastAsia="Times New Roman" w:cstheme="minorHAnsi"/>
        </w:rPr>
        <w:t xml:space="preserve">ould be required next year.  Iain Clark advised that as the </w:t>
      </w:r>
      <w:r w:rsidR="00C921A7">
        <w:rPr>
          <w:rFonts w:eastAsia="Times New Roman" w:cstheme="minorHAnsi"/>
        </w:rPr>
        <w:t xml:space="preserve">Academic </w:t>
      </w:r>
      <w:r w:rsidR="00FA0C3B">
        <w:rPr>
          <w:rFonts w:eastAsia="Times New Roman" w:cstheme="minorHAnsi"/>
        </w:rPr>
        <w:t xml:space="preserve">year </w:t>
      </w:r>
      <w:r w:rsidR="00C921A7">
        <w:rPr>
          <w:rFonts w:eastAsia="Times New Roman" w:cstheme="minorHAnsi"/>
        </w:rPr>
        <w:t>has already started (</w:t>
      </w:r>
      <w:r w:rsidR="00FA0C3B">
        <w:rPr>
          <w:rFonts w:eastAsia="Times New Roman" w:cstheme="minorHAnsi"/>
        </w:rPr>
        <w:t xml:space="preserve">August </w:t>
      </w:r>
      <w:r w:rsidR="00C921A7">
        <w:rPr>
          <w:rFonts w:eastAsia="Times New Roman" w:cstheme="minorHAnsi"/>
        </w:rPr>
        <w:t>1</w:t>
      </w:r>
      <w:r w:rsidR="00C921A7" w:rsidRPr="00342BA3">
        <w:rPr>
          <w:rFonts w:eastAsia="Times New Roman" w:cstheme="minorHAnsi"/>
          <w:vertAlign w:val="superscript"/>
        </w:rPr>
        <w:t>st</w:t>
      </w:r>
      <w:r w:rsidR="00C921A7">
        <w:rPr>
          <w:rFonts w:eastAsia="Times New Roman" w:cstheme="minorHAnsi"/>
        </w:rPr>
        <w:t xml:space="preserve"> </w:t>
      </w:r>
      <w:r w:rsidR="00B54E98">
        <w:rPr>
          <w:rFonts w:eastAsia="Times New Roman" w:cstheme="minorHAnsi"/>
        </w:rPr>
        <w:t>2004</w:t>
      </w:r>
      <w:r w:rsidR="00C921A7">
        <w:rPr>
          <w:rFonts w:eastAsia="Times New Roman" w:cstheme="minorHAnsi"/>
        </w:rPr>
        <w:t xml:space="preserve">) </w:t>
      </w:r>
      <w:r w:rsidR="00FA0C3B">
        <w:rPr>
          <w:rFonts w:eastAsia="Times New Roman" w:cstheme="minorHAnsi"/>
        </w:rPr>
        <w:t>there would at least need to be consolidated accounts for</w:t>
      </w:r>
      <w:r w:rsidR="00CB1BE8">
        <w:rPr>
          <w:rFonts w:eastAsia="Times New Roman" w:cstheme="minorHAnsi"/>
        </w:rPr>
        <w:t xml:space="preserve"> </w:t>
      </w:r>
      <w:r w:rsidR="00C921A7">
        <w:rPr>
          <w:rFonts w:eastAsia="Times New Roman" w:cstheme="minorHAnsi"/>
        </w:rPr>
        <w:t xml:space="preserve">2024/25 up to </w:t>
      </w:r>
      <w:r w:rsidR="00CB1BE8">
        <w:rPr>
          <w:rFonts w:eastAsia="Times New Roman" w:cstheme="minorHAnsi"/>
        </w:rPr>
        <w:t>when dissolution takes place</w:t>
      </w:r>
      <w:r w:rsidR="00C921A7">
        <w:rPr>
          <w:rFonts w:eastAsia="Times New Roman" w:cstheme="minorHAnsi"/>
        </w:rPr>
        <w:t xml:space="preserve"> or 31</w:t>
      </w:r>
      <w:r w:rsidR="00C921A7" w:rsidRPr="00342BA3">
        <w:rPr>
          <w:rFonts w:eastAsia="Times New Roman" w:cstheme="minorHAnsi"/>
          <w:vertAlign w:val="superscript"/>
        </w:rPr>
        <w:t>st</w:t>
      </w:r>
      <w:r w:rsidR="00C921A7">
        <w:rPr>
          <w:rFonts w:eastAsia="Times New Roman" w:cstheme="minorHAnsi"/>
        </w:rPr>
        <w:t xml:space="preserve"> July 2025 depending on the earlier date</w:t>
      </w:r>
      <w:r w:rsidR="00CB1BE8">
        <w:rPr>
          <w:rFonts w:eastAsia="Times New Roman" w:cstheme="minorHAnsi"/>
        </w:rPr>
        <w:t xml:space="preserve">.  </w:t>
      </w:r>
      <w:r w:rsidR="00C921A7">
        <w:rPr>
          <w:rFonts w:eastAsia="Times New Roman" w:cstheme="minorHAnsi"/>
        </w:rPr>
        <w:t>Any dissolution date beyond 31</w:t>
      </w:r>
      <w:r w:rsidR="00C921A7" w:rsidRPr="00342BA3">
        <w:rPr>
          <w:rFonts w:eastAsia="Times New Roman" w:cstheme="minorHAnsi"/>
          <w:vertAlign w:val="superscript"/>
        </w:rPr>
        <w:t>st</w:t>
      </w:r>
      <w:r w:rsidR="00C921A7">
        <w:rPr>
          <w:rFonts w:eastAsia="Times New Roman" w:cstheme="minorHAnsi"/>
        </w:rPr>
        <w:t xml:space="preserve"> July 2025 would require Regional accounts for 2025/26 and potentially beyond that. </w:t>
      </w:r>
      <w:r w:rsidR="00CB1BE8">
        <w:rPr>
          <w:rFonts w:eastAsia="Times New Roman" w:cstheme="minorHAnsi"/>
        </w:rPr>
        <w:t xml:space="preserve"> Both colleges are looking to SFC for guidance.  Jack Kerr confirmed that guidance is needed a</w:t>
      </w:r>
      <w:r w:rsidR="002A367B">
        <w:rPr>
          <w:rFonts w:eastAsia="Times New Roman" w:cstheme="minorHAnsi"/>
        </w:rPr>
        <w:t>s</w:t>
      </w:r>
      <w:r w:rsidR="00CB1BE8">
        <w:rPr>
          <w:rFonts w:eastAsia="Times New Roman" w:cstheme="minorHAnsi"/>
        </w:rPr>
        <w:t xml:space="preserve"> consolidating accounts complicates the position.</w:t>
      </w:r>
    </w:p>
    <w:p w:rsidR="00B03C67" w:rsidRDefault="00B03C67"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EF0ABF" w:rsidRDefault="00EF0AB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EF0ABF">
        <w:rPr>
          <w:rFonts w:eastAsia="Times New Roman" w:cstheme="minorHAnsi"/>
          <w:b/>
        </w:rPr>
        <w:t>10.</w:t>
      </w:r>
      <w:r w:rsidR="00D0591F">
        <w:rPr>
          <w:rFonts w:eastAsia="Times New Roman" w:cstheme="minorHAnsi"/>
          <w:b/>
        </w:rPr>
        <w:t>10</w:t>
      </w:r>
      <w:r>
        <w:rPr>
          <w:rFonts w:eastAsia="Times New Roman" w:cstheme="minorHAnsi"/>
        </w:rPr>
        <w:t xml:space="preserve"> </w:t>
      </w:r>
      <w:r w:rsidR="00CE27A3">
        <w:rPr>
          <w:rFonts w:eastAsia="Times New Roman" w:cstheme="minorHAnsi"/>
        </w:rPr>
        <w:t>The Annual Audit Report is written by Audit Scotland and goes to the Board for noting not approval.</w:t>
      </w:r>
      <w:r>
        <w:rPr>
          <w:rFonts w:eastAsia="Times New Roman" w:cstheme="minorHAnsi"/>
        </w:rPr>
        <w:t xml:space="preserve"> </w:t>
      </w:r>
    </w:p>
    <w:p w:rsidR="00EF0ABF" w:rsidRDefault="00EF0AB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FA0C3B" w:rsidRPr="00EF0ABF" w:rsidRDefault="00EF0ABF" w:rsidP="00EF0ABF">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EF0ABF">
        <w:rPr>
          <w:rFonts w:eastAsia="Times New Roman" w:cstheme="minorHAnsi"/>
          <w:b/>
          <w:i/>
        </w:rPr>
        <w:t xml:space="preserve">Decision: </w:t>
      </w:r>
      <w:r w:rsidR="00FA0C3B" w:rsidRPr="00EF0ABF">
        <w:rPr>
          <w:rFonts w:eastAsia="Times New Roman" w:cstheme="minorHAnsi"/>
          <w:b/>
          <w:i/>
        </w:rPr>
        <w:t xml:space="preserve">The ARC recommended the </w:t>
      </w:r>
      <w:r w:rsidR="00B54E98">
        <w:rPr>
          <w:rFonts w:eastAsia="Times New Roman" w:cstheme="minorHAnsi"/>
          <w:b/>
          <w:i/>
        </w:rPr>
        <w:t xml:space="preserve">Annual Audit Report </w:t>
      </w:r>
      <w:r w:rsidR="00FA0C3B" w:rsidRPr="00EF0ABF">
        <w:rPr>
          <w:rFonts w:eastAsia="Times New Roman" w:cstheme="minorHAnsi"/>
          <w:b/>
          <w:i/>
        </w:rPr>
        <w:t xml:space="preserve">to the </w:t>
      </w:r>
      <w:r w:rsidR="00CE27A3" w:rsidRPr="00EF0ABF">
        <w:rPr>
          <w:rFonts w:eastAsia="Times New Roman" w:cstheme="minorHAnsi"/>
          <w:b/>
          <w:i/>
        </w:rPr>
        <w:t xml:space="preserve">Lanarkshire </w:t>
      </w:r>
      <w:r w:rsidR="00FA0C3B" w:rsidRPr="00EF0ABF">
        <w:rPr>
          <w:rFonts w:eastAsia="Times New Roman" w:cstheme="minorHAnsi"/>
          <w:b/>
          <w:i/>
        </w:rPr>
        <w:t>Board</w:t>
      </w:r>
      <w:r w:rsidR="00CE27A3" w:rsidRPr="00EF0ABF">
        <w:rPr>
          <w:rFonts w:eastAsia="Times New Roman" w:cstheme="minorHAnsi"/>
          <w:b/>
          <w:i/>
        </w:rPr>
        <w:t xml:space="preserve"> for the Board to note. </w:t>
      </w:r>
    </w:p>
    <w:p w:rsidR="00FA0C3B" w:rsidRDefault="00FA0C3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264332" w:rsidRDefault="0026433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sidRPr="00FA0C3B">
        <w:rPr>
          <w:rFonts w:eastAsia="Times New Roman" w:cstheme="minorHAnsi"/>
          <w:b/>
        </w:rPr>
        <w:t>10.2</w:t>
      </w:r>
      <w:r w:rsidR="00FA0C3B" w:rsidRPr="00FA0C3B">
        <w:rPr>
          <w:rFonts w:eastAsia="Times New Roman" w:cstheme="minorHAnsi"/>
          <w:b/>
        </w:rPr>
        <w:t xml:space="preserve"> RSB Financial Statements 2023/24</w:t>
      </w:r>
    </w:p>
    <w:p w:rsidR="0038499A" w:rsidRDefault="0038499A"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color w:val="FF0000"/>
        </w:rPr>
      </w:pPr>
    </w:p>
    <w:p w:rsidR="00303F6B" w:rsidRPr="00F16302" w:rsidRDefault="00F16302" w:rsidP="00F16302">
      <w:pPr>
        <w:spacing w:line="240" w:lineRule="auto"/>
        <w:contextualSpacing/>
        <w:jc w:val="both"/>
        <w:rPr>
          <w:b/>
        </w:rPr>
      </w:pPr>
      <w:r w:rsidRPr="00F16302">
        <w:rPr>
          <w:b/>
        </w:rPr>
        <w:t xml:space="preserve">10.2.1 </w:t>
      </w:r>
    </w:p>
    <w:p w:rsidR="00F16302" w:rsidRDefault="00F16302" w:rsidP="00F16302">
      <w:pPr>
        <w:spacing w:line="240" w:lineRule="auto"/>
        <w:contextualSpacing/>
        <w:jc w:val="both"/>
        <w:rPr>
          <w:rFonts w:cs="Tahoma"/>
        </w:rPr>
      </w:pPr>
    </w:p>
    <w:p w:rsidR="00F16302" w:rsidRDefault="00F16302" w:rsidP="00F16302">
      <w:pPr>
        <w:spacing w:line="240" w:lineRule="auto"/>
        <w:contextualSpacing/>
        <w:jc w:val="both"/>
        <w:rPr>
          <w:rFonts w:cs="Tahoma"/>
        </w:rPr>
      </w:pPr>
      <w:r>
        <w:rPr>
          <w:rFonts w:cs="Tahoma"/>
        </w:rPr>
        <w:t xml:space="preserve">Iain Clark informed the committee that: </w:t>
      </w:r>
    </w:p>
    <w:p w:rsidR="00F16302" w:rsidRDefault="00F16302" w:rsidP="00F16302">
      <w:pPr>
        <w:spacing w:line="240" w:lineRule="auto"/>
        <w:contextualSpacing/>
        <w:jc w:val="both"/>
        <w:rPr>
          <w:rFonts w:cs="Tahoma"/>
        </w:rPr>
      </w:pPr>
      <w:r>
        <w:rPr>
          <w:rFonts w:cs="Tahoma"/>
        </w:rPr>
        <w:t xml:space="preserve"> </w:t>
      </w:r>
    </w:p>
    <w:p w:rsidR="00F16302" w:rsidRDefault="00303F6B" w:rsidP="00F16302">
      <w:pPr>
        <w:spacing w:line="240" w:lineRule="auto"/>
        <w:contextualSpacing/>
        <w:jc w:val="both"/>
        <w:rPr>
          <w:rFonts w:cs="Tahoma"/>
        </w:rPr>
      </w:pPr>
      <w:r w:rsidRPr="00F16302">
        <w:rPr>
          <w:rFonts w:cs="Tahoma"/>
        </w:rPr>
        <w:t>In the year to 31</w:t>
      </w:r>
      <w:r w:rsidRPr="00F16302">
        <w:rPr>
          <w:rFonts w:cs="Tahoma"/>
          <w:vertAlign w:val="superscript"/>
        </w:rPr>
        <w:t>st</w:t>
      </w:r>
      <w:r w:rsidRPr="00F16302">
        <w:rPr>
          <w:rFonts w:cs="Tahoma"/>
        </w:rPr>
        <w:t xml:space="preserve"> July 2024, NCL made a deficit of £4,911k before other gains and losses on a turnover of £51,325k net of intercompany transactions.  </w:t>
      </w:r>
    </w:p>
    <w:p w:rsidR="00F16302" w:rsidRDefault="00303F6B" w:rsidP="00F16302">
      <w:pPr>
        <w:pStyle w:val="ListParagraph"/>
        <w:numPr>
          <w:ilvl w:val="0"/>
          <w:numId w:val="35"/>
        </w:numPr>
        <w:spacing w:line="240" w:lineRule="auto"/>
        <w:jc w:val="both"/>
        <w:rPr>
          <w:rFonts w:cs="Tahoma"/>
        </w:rPr>
      </w:pPr>
      <w:r w:rsidRPr="00F16302">
        <w:rPr>
          <w:rFonts w:cs="Tahoma"/>
        </w:rPr>
        <w:t xml:space="preserve">NCL’s underlying operating position was £243k deficit (2022/23 £3,573k deficit) before the gain on disposal of assets of £68k: including the gain, the total operating deficit is £175k. </w:t>
      </w:r>
    </w:p>
    <w:p w:rsidR="00F16302" w:rsidRDefault="00303F6B" w:rsidP="00F16302">
      <w:pPr>
        <w:pStyle w:val="ListParagraph"/>
        <w:numPr>
          <w:ilvl w:val="0"/>
          <w:numId w:val="35"/>
        </w:numPr>
        <w:spacing w:line="240" w:lineRule="auto"/>
        <w:jc w:val="both"/>
        <w:rPr>
          <w:rFonts w:cs="Tahoma"/>
        </w:rPr>
      </w:pPr>
      <w:r w:rsidRPr="00F16302">
        <w:rPr>
          <w:rFonts w:cs="Tahoma"/>
        </w:rPr>
        <w:t xml:space="preserve"> Amcol Scotland Limited made a surplus of £499k before other gains and losses on a turnover of £4,764k net of intercompany transactions. Amcol’s underlying operating surplus was £527k (2022/23 £431k surplus). </w:t>
      </w:r>
    </w:p>
    <w:p w:rsidR="00C921A7" w:rsidRDefault="00C921A7" w:rsidP="00F16302">
      <w:pPr>
        <w:pStyle w:val="ListParagraph"/>
        <w:numPr>
          <w:ilvl w:val="0"/>
          <w:numId w:val="35"/>
        </w:numPr>
        <w:spacing w:line="240" w:lineRule="auto"/>
        <w:jc w:val="both"/>
        <w:rPr>
          <w:rFonts w:cs="Tahoma"/>
        </w:rPr>
      </w:pPr>
      <w:r>
        <w:rPr>
          <w:rFonts w:eastAsia="Times New Roman" w:cstheme="minorHAnsi"/>
        </w:rPr>
        <w:t>The NCL group reported an underlying operating surplus of £0.284m to 31</w:t>
      </w:r>
      <w:r w:rsidRPr="00342BA3">
        <w:rPr>
          <w:rFonts w:eastAsia="Times New Roman" w:cstheme="minorHAnsi"/>
          <w:vertAlign w:val="superscript"/>
        </w:rPr>
        <w:t>st</w:t>
      </w:r>
      <w:r>
        <w:rPr>
          <w:rFonts w:eastAsia="Times New Roman" w:cstheme="minorHAnsi"/>
        </w:rPr>
        <w:t xml:space="preserve"> July 2024.  </w:t>
      </w:r>
    </w:p>
    <w:p w:rsidR="00F16302" w:rsidRDefault="00303F6B" w:rsidP="00A52BD7">
      <w:pPr>
        <w:pStyle w:val="ListParagraph"/>
        <w:numPr>
          <w:ilvl w:val="0"/>
          <w:numId w:val="35"/>
        </w:numPr>
        <w:spacing w:line="240" w:lineRule="auto"/>
        <w:jc w:val="both"/>
        <w:rPr>
          <w:rFonts w:cs="Tahoma"/>
        </w:rPr>
      </w:pPr>
      <w:r w:rsidRPr="00F16302">
        <w:rPr>
          <w:rFonts w:cs="Tahoma"/>
        </w:rPr>
        <w:t xml:space="preserve"> SLC made a deficit of £1,677k before other gains and losses on a turnover of £18,592k net of intercompany transactions.  SLC’s underlying operating surplus was £378k (2022/23 £254k deficit).</w:t>
      </w:r>
    </w:p>
    <w:p w:rsidR="00303F6B" w:rsidRDefault="00303F6B" w:rsidP="00A52BD7">
      <w:pPr>
        <w:pStyle w:val="ListParagraph"/>
        <w:numPr>
          <w:ilvl w:val="0"/>
          <w:numId w:val="35"/>
        </w:numPr>
        <w:spacing w:line="240" w:lineRule="auto"/>
        <w:jc w:val="both"/>
        <w:rPr>
          <w:rFonts w:cs="Tahoma"/>
        </w:rPr>
      </w:pPr>
      <w:r w:rsidRPr="00F16302">
        <w:rPr>
          <w:rFonts w:cs="Tahoma"/>
        </w:rPr>
        <w:t>In the year to 31</w:t>
      </w:r>
      <w:r w:rsidRPr="00F16302">
        <w:rPr>
          <w:rFonts w:cs="Tahoma"/>
          <w:vertAlign w:val="superscript"/>
        </w:rPr>
        <w:t>st</w:t>
      </w:r>
      <w:r w:rsidRPr="00F16302">
        <w:rPr>
          <w:rFonts w:cs="Tahoma"/>
        </w:rPr>
        <w:t xml:space="preserve"> July 2024, the RSB generated an underlying operating surplus of £662k, 0.82% of Total Expenditure (2022/23 – deficit of £3,396k, -3.98% of Total Expenditure)</w:t>
      </w:r>
      <w:r w:rsidR="00F16302">
        <w:rPr>
          <w:rFonts w:cs="Tahoma"/>
        </w:rPr>
        <w:t>.</w:t>
      </w:r>
    </w:p>
    <w:p w:rsidR="00F16302" w:rsidRDefault="00F16302" w:rsidP="00A52BD7">
      <w:pPr>
        <w:pStyle w:val="ListParagraph"/>
        <w:numPr>
          <w:ilvl w:val="0"/>
          <w:numId w:val="35"/>
        </w:numPr>
        <w:spacing w:line="240" w:lineRule="auto"/>
        <w:jc w:val="both"/>
        <w:rPr>
          <w:rFonts w:cs="Tahoma"/>
        </w:rPr>
      </w:pPr>
      <w:r>
        <w:rPr>
          <w:rFonts w:cs="Tahoma"/>
        </w:rPr>
        <w:t>He informed the Committee that the asset position on the balance sheet was weaker because of the accounting treatment for job evaluation</w:t>
      </w:r>
      <w:r w:rsidR="00C921A7">
        <w:rPr>
          <w:rFonts w:cs="Tahoma"/>
        </w:rPr>
        <w:t>, and the SFC Creditor</w:t>
      </w:r>
      <w:r>
        <w:rPr>
          <w:rFonts w:cs="Tahoma"/>
        </w:rPr>
        <w:t>.</w:t>
      </w:r>
    </w:p>
    <w:p w:rsidR="00F16302" w:rsidRPr="00F16302" w:rsidRDefault="00F16302" w:rsidP="00A52BD7">
      <w:pPr>
        <w:pStyle w:val="ListParagraph"/>
        <w:numPr>
          <w:ilvl w:val="0"/>
          <w:numId w:val="35"/>
        </w:numPr>
        <w:spacing w:line="240" w:lineRule="auto"/>
        <w:jc w:val="both"/>
        <w:rPr>
          <w:rFonts w:cs="Tahoma"/>
        </w:rPr>
      </w:pPr>
      <w:r>
        <w:rPr>
          <w:rFonts w:cs="Tahoma"/>
        </w:rPr>
        <w:t xml:space="preserve">Cash flow continues to be an issue. </w:t>
      </w:r>
    </w:p>
    <w:p w:rsidR="0038499A" w:rsidRPr="002A3006" w:rsidRDefault="00F1630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sidRPr="00F16302">
        <w:rPr>
          <w:rFonts w:eastAsia="Times New Roman" w:cstheme="minorHAnsi"/>
          <w:b/>
        </w:rPr>
        <w:t>10.2.2</w:t>
      </w:r>
      <w:r>
        <w:rPr>
          <w:rFonts w:eastAsia="Times New Roman" w:cstheme="minorHAnsi"/>
          <w:b/>
        </w:rPr>
        <w:t xml:space="preserve"> </w:t>
      </w:r>
      <w:r w:rsidR="002A3006" w:rsidRPr="002A3006">
        <w:rPr>
          <w:rFonts w:eastAsia="Times New Roman" w:cstheme="minorHAnsi"/>
        </w:rPr>
        <w:t xml:space="preserve">Ronnie Smith referred </w:t>
      </w:r>
      <w:r w:rsidR="00C921A7">
        <w:rPr>
          <w:rFonts w:eastAsia="Times New Roman" w:cstheme="minorHAnsi"/>
        </w:rPr>
        <w:t xml:space="preserve">further </w:t>
      </w:r>
      <w:r w:rsidR="002A3006" w:rsidRPr="002A3006">
        <w:rPr>
          <w:rFonts w:eastAsia="Times New Roman" w:cstheme="minorHAnsi"/>
        </w:rPr>
        <w:t>to the impact that the date of the dissolution of the RSB could have on the accounts for 2025/26. If the dissolution goes beyond 31</w:t>
      </w:r>
      <w:r w:rsidR="002A3006" w:rsidRPr="002A3006">
        <w:rPr>
          <w:rFonts w:eastAsia="Times New Roman" w:cstheme="minorHAnsi"/>
          <w:vertAlign w:val="superscript"/>
        </w:rPr>
        <w:t>st</w:t>
      </w:r>
      <w:r w:rsidR="002A3006" w:rsidRPr="002A3006">
        <w:rPr>
          <w:rFonts w:eastAsia="Times New Roman" w:cstheme="minorHAnsi"/>
        </w:rPr>
        <w:t xml:space="preserve"> July 2025 then there would still have to be a consolidation and this would be complex. This point was acknowledged by Jack Kerr.</w:t>
      </w:r>
    </w:p>
    <w:p w:rsidR="00FA0C3B" w:rsidRDefault="00FA0C3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FA0C3B" w:rsidRDefault="00FA0C3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 xml:space="preserve">10.3 AMCOL Financial Statements 2023/24: </w:t>
      </w:r>
      <w:r w:rsidRPr="00FA0C3B">
        <w:rPr>
          <w:rFonts w:eastAsia="Times New Roman" w:cstheme="minorHAnsi"/>
        </w:rPr>
        <w:t xml:space="preserve">Members of the ARC </w:t>
      </w:r>
      <w:r>
        <w:rPr>
          <w:rFonts w:eastAsia="Times New Roman" w:cstheme="minorHAnsi"/>
        </w:rPr>
        <w:t xml:space="preserve">welcomed </w:t>
      </w:r>
      <w:r w:rsidRPr="00FA0C3B">
        <w:rPr>
          <w:rFonts w:eastAsia="Times New Roman" w:cstheme="minorHAnsi"/>
        </w:rPr>
        <w:t>this very positive</w:t>
      </w:r>
      <w:r>
        <w:rPr>
          <w:rFonts w:eastAsia="Times New Roman" w:cstheme="minorHAnsi"/>
        </w:rPr>
        <w:t xml:space="preserve"> s</w:t>
      </w:r>
      <w:r w:rsidRPr="00FA0C3B">
        <w:rPr>
          <w:rFonts w:eastAsia="Times New Roman" w:cstheme="minorHAnsi"/>
        </w:rPr>
        <w:t>et of accounts</w:t>
      </w:r>
      <w:r>
        <w:rPr>
          <w:rFonts w:eastAsia="Times New Roman" w:cstheme="minorHAnsi"/>
        </w:rPr>
        <w:t xml:space="preserve"> and cash balance.</w:t>
      </w:r>
    </w:p>
    <w:p w:rsidR="00F16302" w:rsidRDefault="00F1630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F16302" w:rsidRPr="00F16302" w:rsidRDefault="00F16302" w:rsidP="00F16302">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F16302">
        <w:rPr>
          <w:rFonts w:eastAsia="Times New Roman" w:cstheme="minorHAnsi"/>
          <w:b/>
          <w:i/>
        </w:rPr>
        <w:t xml:space="preserve">Decision: It was agreed to recommend the Financial Statements </w:t>
      </w:r>
      <w:r w:rsidR="002A3006">
        <w:rPr>
          <w:rFonts w:eastAsia="Times New Roman" w:cstheme="minorHAnsi"/>
          <w:b/>
          <w:i/>
        </w:rPr>
        <w:t xml:space="preserve">for 2023/24 </w:t>
      </w:r>
      <w:r w:rsidRPr="00F16302">
        <w:rPr>
          <w:rFonts w:eastAsia="Times New Roman" w:cstheme="minorHAnsi"/>
          <w:b/>
          <w:i/>
        </w:rPr>
        <w:t xml:space="preserve">to the Board for </w:t>
      </w:r>
      <w:r w:rsidR="002A3006">
        <w:rPr>
          <w:rFonts w:eastAsia="Times New Roman" w:cstheme="minorHAnsi"/>
          <w:b/>
          <w:i/>
        </w:rPr>
        <w:t>a</w:t>
      </w:r>
      <w:r w:rsidRPr="00F16302">
        <w:rPr>
          <w:rFonts w:eastAsia="Times New Roman" w:cstheme="minorHAnsi"/>
          <w:b/>
          <w:i/>
        </w:rPr>
        <w:t>pproval.</w:t>
      </w:r>
    </w:p>
    <w:p w:rsidR="009D4652" w:rsidRDefault="009D4652"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EF0ABF" w:rsidRDefault="00FA0C3B"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sidRPr="00FA0C3B">
        <w:rPr>
          <w:rFonts w:eastAsia="Times New Roman" w:cstheme="minorHAnsi"/>
          <w:b/>
        </w:rPr>
        <w:t xml:space="preserve">11.  </w:t>
      </w:r>
      <w:r>
        <w:rPr>
          <w:rFonts w:eastAsia="Times New Roman" w:cstheme="minorHAnsi"/>
          <w:b/>
        </w:rPr>
        <w:t xml:space="preserve">NCL Audit Committee Annual Report:  </w:t>
      </w:r>
      <w:r w:rsidRPr="00FA0C3B">
        <w:rPr>
          <w:rFonts w:eastAsia="Times New Roman" w:cstheme="minorHAnsi"/>
        </w:rPr>
        <w:t xml:space="preserve">Diane McGill </w:t>
      </w:r>
      <w:r w:rsidR="00EF0ABF">
        <w:rPr>
          <w:rFonts w:eastAsia="Times New Roman" w:cstheme="minorHAnsi"/>
        </w:rPr>
        <w:t xml:space="preserve">presented </w:t>
      </w:r>
      <w:r w:rsidRPr="00FA0C3B">
        <w:rPr>
          <w:rFonts w:eastAsia="Times New Roman" w:cstheme="minorHAnsi"/>
        </w:rPr>
        <w:t>her paper</w:t>
      </w:r>
      <w:r w:rsidR="00EF0ABF">
        <w:rPr>
          <w:rFonts w:eastAsia="Times New Roman" w:cstheme="minorHAnsi"/>
        </w:rPr>
        <w:t xml:space="preserve"> which details meetings of the ARC over the year, the papers and reports it has received and the internal and external audit opinions.</w:t>
      </w:r>
    </w:p>
    <w:p w:rsidR="00EF0ABF" w:rsidRDefault="00EF0ABF"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9D4652" w:rsidRPr="00EF0ABF" w:rsidRDefault="00EF0ABF" w:rsidP="00EF0ABF">
      <w:pPr>
        <w:pBdr>
          <w:top w:val="single" w:sz="4" w:space="1" w:color="auto"/>
          <w:left w:val="single" w:sz="4" w:space="4" w:color="auto"/>
          <w:bottom w:val="single" w:sz="4" w:space="1" w:color="auto"/>
          <w:right w:val="single" w:sz="4" w:space="4" w:color="auto"/>
        </w:pBdr>
        <w:tabs>
          <w:tab w:val="left" w:pos="284"/>
          <w:tab w:val="left" w:pos="851"/>
          <w:tab w:val="num" w:pos="1134"/>
          <w:tab w:val="left" w:pos="7230"/>
          <w:tab w:val="left" w:pos="7938"/>
          <w:tab w:val="right" w:pos="8789"/>
        </w:tabs>
        <w:spacing w:after="0" w:line="240" w:lineRule="auto"/>
        <w:jc w:val="both"/>
        <w:rPr>
          <w:rFonts w:eastAsia="Times New Roman" w:cstheme="minorHAnsi"/>
          <w:b/>
          <w:i/>
        </w:rPr>
      </w:pPr>
      <w:r w:rsidRPr="00EF0ABF">
        <w:rPr>
          <w:rFonts w:eastAsia="Times New Roman" w:cstheme="minorHAnsi"/>
          <w:b/>
          <w:i/>
        </w:rPr>
        <w:lastRenderedPageBreak/>
        <w:t xml:space="preserve">Decision: </w:t>
      </w:r>
      <w:r w:rsidR="00FA0C3B" w:rsidRPr="00EF0ABF">
        <w:rPr>
          <w:rFonts w:eastAsia="Times New Roman" w:cstheme="minorHAnsi"/>
          <w:b/>
          <w:i/>
        </w:rPr>
        <w:t xml:space="preserve"> It was agreed to recommend this report to the Board</w:t>
      </w:r>
      <w:r w:rsidRPr="00EF0ABF">
        <w:rPr>
          <w:rFonts w:eastAsia="Times New Roman" w:cstheme="minorHAnsi"/>
          <w:b/>
          <w:i/>
        </w:rPr>
        <w:t xml:space="preserve"> for approval</w:t>
      </w:r>
      <w:r w:rsidR="00FA0C3B" w:rsidRPr="00EF0ABF">
        <w:rPr>
          <w:rFonts w:eastAsia="Times New Roman" w:cstheme="minorHAnsi"/>
          <w:b/>
          <w:i/>
        </w:rPr>
        <w:t>.</w:t>
      </w:r>
    </w:p>
    <w:p w:rsidR="005A3833" w:rsidRPr="008405FE" w:rsidRDefault="005A3833" w:rsidP="004F1932">
      <w:pPr>
        <w:tabs>
          <w:tab w:val="left" w:pos="284"/>
          <w:tab w:val="left" w:pos="851"/>
          <w:tab w:val="num" w:pos="1134"/>
          <w:tab w:val="left" w:pos="7230"/>
          <w:tab w:val="left" w:pos="7938"/>
          <w:tab w:val="right" w:pos="8789"/>
        </w:tabs>
        <w:spacing w:after="0" w:line="240" w:lineRule="auto"/>
        <w:jc w:val="both"/>
        <w:rPr>
          <w:rFonts w:eastAsia="Times New Roman" w:cstheme="minorHAnsi"/>
        </w:rPr>
      </w:pPr>
    </w:p>
    <w:p w:rsidR="00CB1BE8" w:rsidRDefault="00254131" w:rsidP="00FA0C3B">
      <w:pPr>
        <w:tabs>
          <w:tab w:val="left" w:pos="284"/>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12. Risk Register</w:t>
      </w:r>
    </w:p>
    <w:p w:rsidR="00EF0ABF" w:rsidRDefault="00EF0ABF" w:rsidP="00FA0C3B">
      <w:pPr>
        <w:tabs>
          <w:tab w:val="left" w:pos="284"/>
          <w:tab w:val="left" w:pos="851"/>
          <w:tab w:val="num" w:pos="1134"/>
          <w:tab w:val="left" w:pos="7230"/>
          <w:tab w:val="left" w:pos="7938"/>
          <w:tab w:val="right" w:pos="8789"/>
        </w:tabs>
        <w:spacing w:after="0" w:line="240" w:lineRule="auto"/>
        <w:jc w:val="both"/>
        <w:rPr>
          <w:rFonts w:eastAsia="Times New Roman" w:cstheme="minorHAnsi"/>
          <w:b/>
        </w:rPr>
      </w:pPr>
    </w:p>
    <w:p w:rsidR="00CB1BE8" w:rsidRDefault="00FA0C3B" w:rsidP="00CB1BE8">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Pr>
          <w:rFonts w:eastAsia="Times New Roman" w:cstheme="minorHAnsi"/>
          <w:b/>
        </w:rPr>
        <w:t>12</w:t>
      </w:r>
      <w:r w:rsidR="004F1932">
        <w:rPr>
          <w:rFonts w:eastAsia="Times New Roman" w:cstheme="minorHAnsi"/>
          <w:b/>
        </w:rPr>
        <w:t xml:space="preserve">.1 Regional Risk Register: </w:t>
      </w:r>
      <w:r w:rsidR="004F1932" w:rsidRPr="00812924">
        <w:rPr>
          <w:rFonts w:eastAsia="Times New Roman" w:cstheme="minorHAnsi"/>
        </w:rPr>
        <w:t xml:space="preserve">Ronnie Gilmour </w:t>
      </w:r>
      <w:r w:rsidR="00CB1BE8">
        <w:rPr>
          <w:rFonts w:eastAsia="Times New Roman" w:cstheme="minorHAnsi"/>
        </w:rPr>
        <w:t xml:space="preserve">spoke to his paper and </w:t>
      </w:r>
      <w:r w:rsidR="004F1932" w:rsidRPr="00812924">
        <w:rPr>
          <w:rFonts w:eastAsia="Times New Roman" w:cstheme="minorHAnsi"/>
        </w:rPr>
        <w:t>presented the Regional Risk Report.</w:t>
      </w:r>
      <w:r w:rsidR="004F1932">
        <w:rPr>
          <w:rFonts w:eastAsia="Times New Roman" w:cstheme="minorHAnsi"/>
        </w:rPr>
        <w:t xml:space="preserve"> </w:t>
      </w:r>
      <w:r w:rsidR="00CB1BE8">
        <w:rPr>
          <w:rFonts w:eastAsia="Times New Roman" w:cstheme="minorHAnsi"/>
        </w:rPr>
        <w:t xml:space="preserve">He reported that there is mainly no change </w:t>
      </w:r>
      <w:r w:rsidR="00D663F4">
        <w:rPr>
          <w:rFonts w:eastAsia="Times New Roman" w:cstheme="minorHAnsi"/>
        </w:rPr>
        <w:t xml:space="preserve">to the risks identified by NCL </w:t>
      </w:r>
      <w:r w:rsidR="00CB1BE8">
        <w:rPr>
          <w:rFonts w:eastAsia="Times New Roman" w:cstheme="minorHAnsi"/>
        </w:rPr>
        <w:t>with the exception of</w:t>
      </w:r>
      <w:r w:rsidR="00CB1BE8">
        <w:rPr>
          <w:rFonts w:ascii="Calibri" w:eastAsia="Times New Roman" w:hAnsi="Calibri" w:cs="Calibri"/>
          <w:color w:val="000000"/>
          <w:lang w:eastAsia="en-GB"/>
        </w:rPr>
        <w:t>:</w:t>
      </w:r>
    </w:p>
    <w:p w:rsidR="00CB1BE8" w:rsidRDefault="00CB1BE8" w:rsidP="00CB1BE8">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sidRPr="00CB1BE8">
        <w:rPr>
          <w:rFonts w:ascii="Calibri" w:eastAsia="Times New Roman" w:hAnsi="Calibri" w:cs="Calibri"/>
          <w:color w:val="000000"/>
          <w:lang w:eastAsia="en-GB"/>
        </w:rPr>
        <w:t>Risk J - "Failure to establish and implement an effective regional governance model" moves DOWN to a residual risk score of 3 (from 6)</w:t>
      </w:r>
      <w:r>
        <w:rPr>
          <w:rFonts w:ascii="Calibri" w:eastAsia="Times New Roman" w:hAnsi="Calibri" w:cs="Calibri"/>
          <w:color w:val="000000"/>
          <w:lang w:eastAsia="en-GB"/>
        </w:rPr>
        <w:t>, and</w:t>
      </w:r>
    </w:p>
    <w:p w:rsidR="00CB1BE8" w:rsidRDefault="00CB1BE8" w:rsidP="00CB1BE8">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sidRPr="00CB1BE8">
        <w:rPr>
          <w:rFonts w:ascii="Calibri" w:eastAsia="Times New Roman" w:hAnsi="Calibri" w:cs="Calibri"/>
          <w:color w:val="000000"/>
          <w:lang w:eastAsia="en-GB"/>
        </w:rPr>
        <w:t>Risk H  - "Failure to SFC Credit Targets" moves DOWN to a residual risk of 5 (from 10).</w:t>
      </w:r>
    </w:p>
    <w:p w:rsidR="00CB1BE8" w:rsidRDefault="00CB1BE8" w:rsidP="00CB1BE8">
      <w:pPr>
        <w:tabs>
          <w:tab w:val="left" w:pos="284"/>
          <w:tab w:val="left" w:pos="851"/>
          <w:tab w:val="num" w:pos="1134"/>
          <w:tab w:val="left" w:pos="7230"/>
          <w:tab w:val="left" w:pos="7938"/>
          <w:tab w:val="right" w:pos="8789"/>
        </w:tabs>
        <w:spacing w:after="0" w:line="240" w:lineRule="auto"/>
        <w:jc w:val="both"/>
        <w:rPr>
          <w:rFonts w:ascii="Calibri" w:eastAsia="Times New Roman" w:hAnsi="Calibri" w:cs="Calibri"/>
          <w:color w:val="000000"/>
          <w:lang w:eastAsia="en-GB"/>
        </w:rPr>
      </w:pPr>
      <w:r w:rsidRPr="00CB1BE8">
        <w:rPr>
          <w:rFonts w:ascii="Calibri" w:eastAsia="Times New Roman" w:hAnsi="Calibri" w:cs="Calibri"/>
          <w:color w:val="000000"/>
          <w:lang w:eastAsia="en-GB"/>
        </w:rPr>
        <w:t>All other residual risks remain the same as per August 2024.</w:t>
      </w:r>
    </w:p>
    <w:p w:rsidR="00CB1BE8" w:rsidRPr="00650560" w:rsidRDefault="00CB1BE8" w:rsidP="00CB1BE8">
      <w:pPr>
        <w:tabs>
          <w:tab w:val="left" w:pos="284"/>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SLC Risk Register</w:t>
      </w:r>
      <w:r w:rsidR="00650560">
        <w:rPr>
          <w:rFonts w:eastAsia="Times New Roman" w:cstheme="minorHAnsi"/>
          <w:b/>
        </w:rPr>
        <w:t>,</w:t>
      </w:r>
      <w:r>
        <w:rPr>
          <w:rFonts w:eastAsia="Times New Roman" w:cstheme="minorHAnsi"/>
          <w:b/>
        </w:rPr>
        <w:t xml:space="preserve"> </w:t>
      </w:r>
      <w:r w:rsidR="00650560" w:rsidRPr="00650560">
        <w:rPr>
          <w:rFonts w:eastAsia="Times New Roman" w:cstheme="minorHAnsi"/>
        </w:rPr>
        <w:t>incorporated into the Regional Risk Register, has been realigned to the NCL format.</w:t>
      </w:r>
    </w:p>
    <w:p w:rsidR="00D663F4" w:rsidRDefault="00D663F4" w:rsidP="00D663F4">
      <w:pPr>
        <w:spacing w:after="0" w:line="240" w:lineRule="auto"/>
        <w:jc w:val="both"/>
        <w:rPr>
          <w:rFonts w:ascii="Calibri" w:eastAsia="Times New Roman" w:hAnsi="Calibri" w:cs="Calibri"/>
          <w:lang w:eastAsia="en-GB"/>
        </w:rPr>
      </w:pPr>
      <w:r w:rsidRPr="00D663F4">
        <w:rPr>
          <w:rFonts w:ascii="Calibri" w:eastAsia="Times New Roman" w:hAnsi="Calibri" w:cs="Calibri"/>
          <w:lang w:eastAsia="en-GB"/>
        </w:rPr>
        <w:t xml:space="preserve">There </w:t>
      </w:r>
      <w:r w:rsidR="005853DF" w:rsidRPr="00D663F4">
        <w:rPr>
          <w:rFonts w:ascii="Calibri" w:eastAsia="Times New Roman" w:hAnsi="Calibri" w:cs="Calibri"/>
          <w:lang w:eastAsia="en-GB"/>
        </w:rPr>
        <w:t>is</w:t>
      </w:r>
      <w:r w:rsidRPr="00D663F4">
        <w:rPr>
          <w:rFonts w:ascii="Calibri" w:eastAsia="Times New Roman" w:hAnsi="Calibri" w:cs="Calibri"/>
          <w:lang w:eastAsia="en-GB"/>
        </w:rPr>
        <w:t xml:space="preserve"> a total of 15 risks logged - 1 less than August 2024</w:t>
      </w:r>
      <w:r>
        <w:rPr>
          <w:rFonts w:ascii="Calibri" w:eastAsia="Times New Roman" w:hAnsi="Calibri" w:cs="Calibri"/>
          <w:lang w:eastAsia="en-GB"/>
        </w:rPr>
        <w:t>;</w:t>
      </w:r>
    </w:p>
    <w:p w:rsidR="00D663F4" w:rsidRPr="00D663F4" w:rsidRDefault="00D663F4" w:rsidP="00D663F4">
      <w:pPr>
        <w:spacing w:after="0" w:line="240" w:lineRule="auto"/>
        <w:jc w:val="both"/>
        <w:rPr>
          <w:rFonts w:ascii="Calibri" w:eastAsia="Times New Roman" w:hAnsi="Calibri" w:cs="Calibri"/>
          <w:lang w:eastAsia="en-GB"/>
        </w:rPr>
      </w:pPr>
      <w:r w:rsidRPr="00D663F4">
        <w:rPr>
          <w:rFonts w:ascii="Calibri" w:eastAsia="Times New Roman" w:hAnsi="Calibri" w:cs="Calibri"/>
          <w:lang w:eastAsia="en-GB"/>
        </w:rPr>
        <w:t>8 risks have moved DOWN (1, 2, 3, 4, 5, 7, 12, 13 and 15) and 2 risks have moved UP (6 &amp; 10)</w:t>
      </w:r>
      <w:r>
        <w:rPr>
          <w:rFonts w:ascii="Calibri" w:eastAsia="Times New Roman" w:hAnsi="Calibri" w:cs="Calibri"/>
          <w:lang w:eastAsia="en-GB"/>
        </w:rPr>
        <w:t>;</w:t>
      </w:r>
      <w:r w:rsidRPr="00D663F4">
        <w:rPr>
          <w:rFonts w:ascii="Calibri" w:eastAsia="Times New Roman" w:hAnsi="Calibri" w:cs="Calibri"/>
          <w:lang w:eastAsia="en-GB"/>
        </w:rPr>
        <w:t xml:space="preserve">                                                                                                                                                                                                                                                                           </w:t>
      </w:r>
      <w:r w:rsidRPr="00D663F4">
        <w:rPr>
          <w:rFonts w:ascii="Calibri" w:eastAsia="Times New Roman" w:hAnsi="Calibri" w:cs="Calibri"/>
          <w:lang w:eastAsia="en-GB"/>
        </w:rPr>
        <w:br/>
        <w:t>The remaining 5 risks remain the same as the August 2024 register.</w:t>
      </w:r>
    </w:p>
    <w:p w:rsidR="004F1932" w:rsidRDefault="004F1932" w:rsidP="004F1932">
      <w:pPr>
        <w:tabs>
          <w:tab w:val="left" w:pos="567"/>
          <w:tab w:val="left" w:pos="851"/>
        </w:tabs>
        <w:spacing w:after="0" w:line="240" w:lineRule="auto"/>
        <w:rPr>
          <w:rFonts w:eastAsia="Times New Roman" w:cstheme="minorHAnsi"/>
          <w:b/>
        </w:rPr>
      </w:pPr>
    </w:p>
    <w:p w:rsidR="004F1932" w:rsidRDefault="004F1932" w:rsidP="009D3285">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w:t>
      </w:r>
      <w:r w:rsidR="009D3285">
        <w:rPr>
          <w:rFonts w:eastAsia="Times New Roman" w:cstheme="minorHAnsi"/>
          <w:b/>
        </w:rPr>
        <w:t>3</w:t>
      </w:r>
      <w:r>
        <w:rPr>
          <w:rFonts w:eastAsia="Times New Roman" w:cstheme="minorHAnsi"/>
          <w:b/>
        </w:rPr>
        <w:t xml:space="preserve">. Internal Audit Reports </w:t>
      </w:r>
    </w:p>
    <w:p w:rsidR="004F1932" w:rsidRDefault="004F1932" w:rsidP="004F193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sidRPr="008F24A1">
        <w:rPr>
          <w:rFonts w:eastAsia="Times New Roman" w:cstheme="minorHAnsi"/>
        </w:rPr>
        <w:t>Stephen Pringle</w:t>
      </w:r>
      <w:r w:rsidR="009D3285">
        <w:rPr>
          <w:rFonts w:eastAsia="Times New Roman" w:cstheme="minorHAnsi"/>
        </w:rPr>
        <w:t xml:space="preserve"> (Wylie and Bisset)</w:t>
      </w:r>
      <w:r w:rsidRPr="008F24A1">
        <w:rPr>
          <w:rFonts w:eastAsia="Times New Roman" w:cstheme="minorHAnsi"/>
        </w:rPr>
        <w:t xml:space="preserve"> presented the reports as follows: </w:t>
      </w:r>
    </w:p>
    <w:p w:rsidR="00D0591F" w:rsidRDefault="00D0591F" w:rsidP="004F1932">
      <w:pPr>
        <w:autoSpaceDE w:val="0"/>
        <w:autoSpaceDN w:val="0"/>
        <w:adjustRightInd w:val="0"/>
        <w:spacing w:after="0" w:line="240" w:lineRule="auto"/>
        <w:rPr>
          <w:rFonts w:cstheme="minorHAnsi"/>
          <w:b/>
        </w:rPr>
      </w:pPr>
    </w:p>
    <w:p w:rsidR="004F1932" w:rsidRDefault="004F1932" w:rsidP="004F1932">
      <w:pPr>
        <w:autoSpaceDE w:val="0"/>
        <w:autoSpaceDN w:val="0"/>
        <w:adjustRightInd w:val="0"/>
        <w:spacing w:after="0" w:line="240" w:lineRule="auto"/>
        <w:rPr>
          <w:rFonts w:cstheme="minorHAnsi"/>
          <w:b/>
        </w:rPr>
      </w:pPr>
      <w:r w:rsidRPr="00A549A1">
        <w:rPr>
          <w:rFonts w:cstheme="minorHAnsi"/>
          <w:b/>
        </w:rPr>
        <w:t>1</w:t>
      </w:r>
      <w:r w:rsidR="009D3285">
        <w:rPr>
          <w:rFonts w:cstheme="minorHAnsi"/>
          <w:b/>
        </w:rPr>
        <w:t>3</w:t>
      </w:r>
      <w:r w:rsidRPr="00A549A1">
        <w:rPr>
          <w:rFonts w:cstheme="minorHAnsi"/>
          <w:b/>
        </w:rPr>
        <w:t xml:space="preserve">.1 </w:t>
      </w:r>
      <w:r w:rsidR="009D3285">
        <w:rPr>
          <w:rFonts w:cstheme="minorHAnsi"/>
          <w:b/>
        </w:rPr>
        <w:t>Student Support Funds Report</w:t>
      </w:r>
    </w:p>
    <w:p w:rsidR="002930FB" w:rsidRDefault="002930FB" w:rsidP="00860CAE">
      <w:pPr>
        <w:autoSpaceDE w:val="0"/>
        <w:autoSpaceDN w:val="0"/>
        <w:adjustRightInd w:val="0"/>
        <w:spacing w:after="0" w:line="240" w:lineRule="auto"/>
        <w:jc w:val="both"/>
        <w:rPr>
          <w:rFonts w:cstheme="minorHAnsi"/>
        </w:rPr>
      </w:pPr>
      <w:r>
        <w:rPr>
          <w:rFonts w:cstheme="minorHAnsi"/>
        </w:rPr>
        <w:t>“On the basis of our examination and of the explanations given to us, we report that information set out in these forms is in agreement with the underlying records. We also report that, in our opinion, the college used these forms in accordance with the guidance issued by SFC and SAAS.  We are satisfied that the systems and controls for the administration and disbursement of these funds are adequate.”</w:t>
      </w:r>
      <w:r w:rsidR="00860CAE">
        <w:rPr>
          <w:rFonts w:cstheme="minorHAnsi"/>
        </w:rPr>
        <w:t xml:space="preserve"> </w:t>
      </w:r>
      <w:r>
        <w:rPr>
          <w:rFonts w:cstheme="minorHAnsi"/>
        </w:rPr>
        <w:t>There were no recommendations.</w:t>
      </w:r>
    </w:p>
    <w:p w:rsidR="002930FB" w:rsidRDefault="002930FB" w:rsidP="004F1932">
      <w:pPr>
        <w:autoSpaceDE w:val="0"/>
        <w:autoSpaceDN w:val="0"/>
        <w:adjustRightInd w:val="0"/>
        <w:spacing w:after="0" w:line="240" w:lineRule="auto"/>
        <w:rPr>
          <w:rFonts w:cstheme="minorHAnsi"/>
        </w:rPr>
      </w:pPr>
    </w:p>
    <w:p w:rsidR="004F1932" w:rsidRDefault="002930FB" w:rsidP="004F1932">
      <w:pPr>
        <w:autoSpaceDE w:val="0"/>
        <w:autoSpaceDN w:val="0"/>
        <w:adjustRightInd w:val="0"/>
        <w:spacing w:after="0" w:line="240" w:lineRule="auto"/>
        <w:rPr>
          <w:rFonts w:cstheme="minorHAnsi"/>
        </w:rPr>
      </w:pPr>
      <w:r w:rsidRPr="002930FB">
        <w:rPr>
          <w:rFonts w:cstheme="minorHAnsi"/>
          <w:b/>
        </w:rPr>
        <w:t>13.2 EMA Report</w:t>
      </w:r>
      <w:r w:rsidR="00D0591F">
        <w:rPr>
          <w:rFonts w:cstheme="minorHAnsi"/>
          <w:b/>
        </w:rPr>
        <w:t xml:space="preserve">: </w:t>
      </w:r>
      <w:r>
        <w:rPr>
          <w:rFonts w:cstheme="minorHAnsi"/>
        </w:rPr>
        <w:t>There was one low</w:t>
      </w:r>
      <w:r w:rsidR="00CF6AA0">
        <w:rPr>
          <w:rFonts w:cstheme="minorHAnsi"/>
        </w:rPr>
        <w:t xml:space="preserve"> grade</w:t>
      </w:r>
      <w:r>
        <w:rPr>
          <w:rFonts w:cstheme="minorHAnsi"/>
        </w:rPr>
        <w:t xml:space="preserve"> recommendation</w:t>
      </w:r>
      <w:r w:rsidR="00CF6AA0">
        <w:rPr>
          <w:rFonts w:cstheme="minorHAnsi"/>
        </w:rPr>
        <w:t xml:space="preserve"> that spot checks should be carried out on 5% of all EMA applications throughout the year.</w:t>
      </w:r>
      <w:r w:rsidR="009D34C0">
        <w:rPr>
          <w:rFonts w:cstheme="minorHAnsi"/>
        </w:rPr>
        <w:t xml:space="preserve"> Iain Clark advised that Student Funding had created a report for this.</w:t>
      </w:r>
    </w:p>
    <w:p w:rsidR="00CF6AA0" w:rsidRDefault="00CF6AA0" w:rsidP="004F1932">
      <w:pPr>
        <w:autoSpaceDE w:val="0"/>
        <w:autoSpaceDN w:val="0"/>
        <w:adjustRightInd w:val="0"/>
        <w:spacing w:after="0" w:line="240" w:lineRule="auto"/>
        <w:rPr>
          <w:rFonts w:cstheme="minorHAnsi"/>
        </w:rPr>
      </w:pPr>
    </w:p>
    <w:p w:rsidR="00CF6AA0" w:rsidRPr="00860CAE" w:rsidRDefault="00CF6AA0" w:rsidP="004F1932">
      <w:pPr>
        <w:autoSpaceDE w:val="0"/>
        <w:autoSpaceDN w:val="0"/>
        <w:adjustRightInd w:val="0"/>
        <w:spacing w:after="0" w:line="240" w:lineRule="auto"/>
        <w:rPr>
          <w:rFonts w:cstheme="minorHAnsi"/>
        </w:rPr>
      </w:pPr>
      <w:r w:rsidRPr="00CF6AA0">
        <w:rPr>
          <w:rFonts w:cstheme="minorHAnsi"/>
          <w:b/>
        </w:rPr>
        <w:t>13.3 Credits Report</w:t>
      </w:r>
      <w:r w:rsidR="00D0591F">
        <w:rPr>
          <w:rFonts w:cstheme="minorHAnsi"/>
          <w:b/>
        </w:rPr>
        <w:t xml:space="preserve">: </w:t>
      </w:r>
      <w:r w:rsidRPr="00860CAE">
        <w:rPr>
          <w:rFonts w:cstheme="minorHAnsi"/>
        </w:rPr>
        <w:t>The College’s credit target for 2023/24 agreed with SFC was 117,288.  The number of credits claimed for the target was 117,592. While over target it was within the 2% tolerance allowed by SFC.</w:t>
      </w:r>
      <w:r w:rsidR="00D0591F" w:rsidRPr="00860CAE">
        <w:rPr>
          <w:rFonts w:cstheme="minorHAnsi"/>
        </w:rPr>
        <w:t xml:space="preserve"> </w:t>
      </w:r>
      <w:r w:rsidRPr="00860CAE">
        <w:rPr>
          <w:rFonts w:cstheme="minorHAnsi"/>
        </w:rPr>
        <w:t>There were no recommendations.</w:t>
      </w:r>
    </w:p>
    <w:p w:rsidR="00CF6AA0" w:rsidRPr="00860CAE" w:rsidRDefault="00CF6AA0" w:rsidP="004F1932">
      <w:pPr>
        <w:autoSpaceDE w:val="0"/>
        <w:autoSpaceDN w:val="0"/>
        <w:adjustRightInd w:val="0"/>
        <w:spacing w:after="0" w:line="240" w:lineRule="auto"/>
        <w:rPr>
          <w:rFonts w:cstheme="minorHAnsi"/>
        </w:rPr>
      </w:pPr>
    </w:p>
    <w:p w:rsidR="00D0591F" w:rsidRPr="00860CAE" w:rsidRDefault="00CF6AA0" w:rsidP="00D0591F">
      <w:pPr>
        <w:autoSpaceDE w:val="0"/>
        <w:autoSpaceDN w:val="0"/>
        <w:adjustRightInd w:val="0"/>
        <w:spacing w:after="0" w:line="240" w:lineRule="auto"/>
        <w:rPr>
          <w:rFonts w:cstheme="minorHAnsi"/>
          <w:b/>
        </w:rPr>
      </w:pPr>
      <w:r w:rsidRPr="00860CAE">
        <w:rPr>
          <w:rFonts w:cstheme="minorHAnsi"/>
          <w:b/>
        </w:rPr>
        <w:t>13.4 Regional Assurance Report</w:t>
      </w:r>
      <w:r w:rsidR="00D0591F" w:rsidRPr="00860CAE">
        <w:rPr>
          <w:rFonts w:cstheme="minorHAnsi"/>
          <w:b/>
        </w:rPr>
        <w:t xml:space="preserve">: </w:t>
      </w:r>
    </w:p>
    <w:p w:rsidR="00D0591F" w:rsidRPr="00860CAE" w:rsidRDefault="00D0591F" w:rsidP="00D0591F">
      <w:pPr>
        <w:autoSpaceDE w:val="0"/>
        <w:autoSpaceDN w:val="0"/>
        <w:adjustRightInd w:val="0"/>
        <w:spacing w:after="0" w:line="240" w:lineRule="auto"/>
        <w:rPr>
          <w:rFonts w:cstheme="minorHAnsi"/>
        </w:rPr>
      </w:pPr>
    </w:p>
    <w:p w:rsidR="000D295E" w:rsidRPr="00860CAE" w:rsidRDefault="00D0591F" w:rsidP="00D0591F">
      <w:pPr>
        <w:autoSpaceDE w:val="0"/>
        <w:autoSpaceDN w:val="0"/>
        <w:adjustRightInd w:val="0"/>
        <w:spacing w:after="0" w:line="240" w:lineRule="auto"/>
        <w:rPr>
          <w:rFonts w:cstheme="minorHAnsi"/>
        </w:rPr>
      </w:pPr>
      <w:r w:rsidRPr="00860CAE">
        <w:rPr>
          <w:rFonts w:cstheme="minorHAnsi"/>
          <w:b/>
        </w:rPr>
        <w:t>13.4.1</w:t>
      </w:r>
      <w:r w:rsidRPr="00860CAE">
        <w:rPr>
          <w:rFonts w:cstheme="minorHAnsi"/>
        </w:rPr>
        <w:t xml:space="preserve"> </w:t>
      </w:r>
      <w:r w:rsidR="000D295E" w:rsidRPr="00860CAE">
        <w:rPr>
          <w:rFonts w:cstheme="minorHAnsi"/>
        </w:rPr>
        <w:t>In the credits</w:t>
      </w:r>
      <w:r w:rsidRPr="00860CAE">
        <w:rPr>
          <w:rFonts w:cstheme="minorHAnsi"/>
        </w:rPr>
        <w:t>’</w:t>
      </w:r>
      <w:r w:rsidR="000D295E" w:rsidRPr="00860CAE">
        <w:rPr>
          <w:rFonts w:cstheme="minorHAnsi"/>
        </w:rPr>
        <w:t xml:space="preserve"> summary P4 of the report it states that SLC delivered 43,601 credits against a target of 44,077, thus reducing the Region’s </w:t>
      </w:r>
      <w:r w:rsidR="008153A2" w:rsidRPr="00860CAE">
        <w:rPr>
          <w:rFonts w:cstheme="minorHAnsi"/>
        </w:rPr>
        <w:t xml:space="preserve">credits delivered to 161,193 against a target of 161,365.  This is incorrect.  SLC met and exceeded its target.  The figures have been transposed and should read SLC delivered 44,077 credits against a target of 43,601.  Stephen Pringle agreed to </w:t>
      </w:r>
      <w:r w:rsidRPr="00860CAE">
        <w:rPr>
          <w:rFonts w:cstheme="minorHAnsi"/>
        </w:rPr>
        <w:t>amend the figures.</w:t>
      </w:r>
    </w:p>
    <w:p w:rsidR="008153A2" w:rsidRPr="00860CAE" w:rsidRDefault="008153A2" w:rsidP="00D7173F">
      <w:pPr>
        <w:autoSpaceDE w:val="0"/>
        <w:autoSpaceDN w:val="0"/>
        <w:adjustRightInd w:val="0"/>
        <w:spacing w:after="0" w:line="240" w:lineRule="auto"/>
        <w:jc w:val="both"/>
        <w:rPr>
          <w:rFonts w:cstheme="minorHAnsi"/>
          <w:b/>
        </w:rPr>
      </w:pPr>
    </w:p>
    <w:p w:rsidR="00CF6AA0" w:rsidRPr="00860CAE" w:rsidRDefault="00D0591F" w:rsidP="00D7173F">
      <w:pPr>
        <w:autoSpaceDE w:val="0"/>
        <w:autoSpaceDN w:val="0"/>
        <w:adjustRightInd w:val="0"/>
        <w:spacing w:after="0" w:line="240" w:lineRule="auto"/>
        <w:jc w:val="both"/>
        <w:rPr>
          <w:rFonts w:cstheme="minorHAnsi"/>
        </w:rPr>
      </w:pPr>
      <w:r w:rsidRPr="00860CAE">
        <w:rPr>
          <w:rFonts w:cstheme="minorHAnsi"/>
          <w:b/>
        </w:rPr>
        <w:t>13.4.2</w:t>
      </w:r>
      <w:r w:rsidRPr="00860CAE">
        <w:rPr>
          <w:rFonts w:cstheme="minorHAnsi"/>
        </w:rPr>
        <w:t xml:space="preserve"> Ste</w:t>
      </w:r>
      <w:r w:rsidR="000D295E" w:rsidRPr="00860CAE">
        <w:rPr>
          <w:rFonts w:cstheme="minorHAnsi"/>
        </w:rPr>
        <w:t>phen Pringle reported that Wylie Bisset had liaised with SLC’s auditors, Henderson Loggie.  Both sets of auditors found that all</w:t>
      </w:r>
      <w:r w:rsidR="00D7173F" w:rsidRPr="00860CAE">
        <w:rPr>
          <w:rFonts w:cstheme="minorHAnsi"/>
        </w:rPr>
        <w:t xml:space="preserve"> (Credits, SSF and EMA funding)</w:t>
      </w:r>
      <w:r w:rsidR="000D295E" w:rsidRPr="00860CAE">
        <w:rPr>
          <w:rFonts w:cstheme="minorHAnsi"/>
        </w:rPr>
        <w:t xml:space="preserve"> </w:t>
      </w:r>
      <w:r w:rsidR="00D7173F" w:rsidRPr="00860CAE">
        <w:rPr>
          <w:rFonts w:cstheme="minorHAnsi"/>
        </w:rPr>
        <w:t>had been processed and used</w:t>
      </w:r>
      <w:r w:rsidR="000D295E" w:rsidRPr="00860CAE">
        <w:rPr>
          <w:rFonts w:cstheme="minorHAnsi"/>
        </w:rPr>
        <w:t xml:space="preserve"> in accordance with SFC guidance</w:t>
      </w:r>
      <w:r w:rsidR="00D7173F" w:rsidRPr="00860CAE">
        <w:rPr>
          <w:rFonts w:cstheme="minorHAnsi"/>
        </w:rPr>
        <w:t>.</w:t>
      </w:r>
    </w:p>
    <w:p w:rsidR="000D295E" w:rsidRPr="00860CAE" w:rsidRDefault="000D295E" w:rsidP="004F1932">
      <w:pPr>
        <w:autoSpaceDE w:val="0"/>
        <w:autoSpaceDN w:val="0"/>
        <w:adjustRightInd w:val="0"/>
        <w:spacing w:after="0" w:line="240" w:lineRule="auto"/>
        <w:rPr>
          <w:rFonts w:cstheme="minorHAnsi"/>
        </w:rPr>
      </w:pPr>
    </w:p>
    <w:p w:rsidR="000D295E" w:rsidRPr="00860CAE" w:rsidRDefault="000D295E" w:rsidP="00D0591F">
      <w:pPr>
        <w:autoSpaceDE w:val="0"/>
        <w:autoSpaceDN w:val="0"/>
        <w:adjustRightInd w:val="0"/>
        <w:spacing w:after="0" w:line="240" w:lineRule="auto"/>
        <w:rPr>
          <w:rFonts w:cstheme="minorHAnsi"/>
        </w:rPr>
      </w:pPr>
      <w:r w:rsidRPr="00860CAE">
        <w:rPr>
          <w:rFonts w:cstheme="minorHAnsi"/>
          <w:b/>
        </w:rPr>
        <w:t>13.5 Annual Internal Audit Report</w:t>
      </w:r>
      <w:r w:rsidR="00D0591F" w:rsidRPr="00860CAE">
        <w:rPr>
          <w:rFonts w:cstheme="minorHAnsi"/>
          <w:b/>
        </w:rPr>
        <w:t xml:space="preserve">: </w:t>
      </w:r>
      <w:r w:rsidR="00D7173F" w:rsidRPr="00860CAE">
        <w:rPr>
          <w:rFonts w:cstheme="minorHAnsi"/>
        </w:rPr>
        <w:t xml:space="preserve">This report covered both NCL and SLC.  </w:t>
      </w:r>
      <w:r w:rsidR="00754C7F" w:rsidRPr="00860CAE">
        <w:rPr>
          <w:rFonts w:cstheme="minorHAnsi"/>
        </w:rPr>
        <w:t>There were no high priority recommendations for NCL, but there were a number of medium and low grade recommendations requiring action.  There was one high priority recommendation for SLC</w:t>
      </w:r>
      <w:r w:rsidR="00E86325" w:rsidRPr="00860CAE">
        <w:rPr>
          <w:rFonts w:cstheme="minorHAnsi"/>
        </w:rPr>
        <w:t xml:space="preserve"> requiring the college’s estates strategy to be updated to reflect the current space requirements of the curriculum, staff and students. There were also a number of medium and low grade recommendations for SLC.</w:t>
      </w:r>
    </w:p>
    <w:p w:rsidR="005220A5" w:rsidRPr="00860CAE" w:rsidRDefault="005220A5" w:rsidP="00E86325">
      <w:pPr>
        <w:autoSpaceDE w:val="0"/>
        <w:autoSpaceDN w:val="0"/>
        <w:adjustRightInd w:val="0"/>
        <w:spacing w:after="0" w:line="240" w:lineRule="auto"/>
        <w:jc w:val="both"/>
        <w:rPr>
          <w:rFonts w:cstheme="minorHAnsi"/>
        </w:rPr>
      </w:pPr>
    </w:p>
    <w:p w:rsidR="000D295E" w:rsidRPr="00860CAE" w:rsidRDefault="005220A5" w:rsidP="00D0591F">
      <w:pPr>
        <w:autoSpaceDE w:val="0"/>
        <w:autoSpaceDN w:val="0"/>
        <w:adjustRightInd w:val="0"/>
        <w:spacing w:after="0" w:line="240" w:lineRule="auto"/>
        <w:jc w:val="both"/>
        <w:rPr>
          <w:rFonts w:cstheme="minorHAnsi"/>
        </w:rPr>
      </w:pPr>
      <w:r w:rsidRPr="00860CAE">
        <w:rPr>
          <w:rFonts w:cstheme="minorHAnsi"/>
          <w:b/>
        </w:rPr>
        <w:t>13.6 Procurement Report</w:t>
      </w:r>
      <w:r w:rsidR="00D0591F" w:rsidRPr="00860CAE">
        <w:rPr>
          <w:rFonts w:cstheme="minorHAnsi"/>
          <w:b/>
        </w:rPr>
        <w:t xml:space="preserve">: </w:t>
      </w:r>
      <w:r w:rsidRPr="00860CAE">
        <w:rPr>
          <w:rFonts w:cstheme="minorHAnsi"/>
        </w:rPr>
        <w:t>Wylie and Bisset reported a strong level of assurance</w:t>
      </w:r>
      <w:r w:rsidR="009D34C0">
        <w:rPr>
          <w:rFonts w:cstheme="minorHAnsi"/>
        </w:rPr>
        <w:t xml:space="preserve"> (highest grade possible) </w:t>
      </w:r>
      <w:r w:rsidRPr="00860CAE">
        <w:rPr>
          <w:rFonts w:cstheme="minorHAnsi"/>
        </w:rPr>
        <w:t xml:space="preserve"> on procurement arrangements in place at NCL.  There were 2 low grade recommendations and one observation</w:t>
      </w:r>
      <w:r w:rsidR="009D34C0">
        <w:rPr>
          <w:rFonts w:cstheme="minorHAnsi"/>
        </w:rPr>
        <w:t xml:space="preserve">, </w:t>
      </w:r>
      <w:r w:rsidR="009D34C0">
        <w:rPr>
          <w:rFonts w:cstheme="minorHAnsi"/>
        </w:rPr>
        <w:lastRenderedPageBreak/>
        <w:t>with many areas of good practice</w:t>
      </w:r>
      <w:r w:rsidRPr="00860CAE">
        <w:rPr>
          <w:rFonts w:cstheme="minorHAnsi"/>
        </w:rPr>
        <w:t>.  The</w:t>
      </w:r>
      <w:r w:rsidR="00565D59" w:rsidRPr="00860CAE">
        <w:rPr>
          <w:rFonts w:cstheme="minorHAnsi"/>
        </w:rPr>
        <w:t xml:space="preserve"> </w:t>
      </w:r>
      <w:r w:rsidRPr="00860CAE">
        <w:rPr>
          <w:rFonts w:cstheme="minorHAnsi"/>
        </w:rPr>
        <w:t>recommendation</w:t>
      </w:r>
      <w:r w:rsidR="00565D59" w:rsidRPr="00860CAE">
        <w:rPr>
          <w:rFonts w:cstheme="minorHAnsi"/>
        </w:rPr>
        <w:t xml:space="preserve">s covered </w:t>
      </w:r>
      <w:r w:rsidRPr="00860CAE">
        <w:rPr>
          <w:rFonts w:cstheme="minorHAnsi"/>
        </w:rPr>
        <w:t xml:space="preserve"> </w:t>
      </w:r>
      <w:r w:rsidR="00565D59" w:rsidRPr="00860CAE">
        <w:rPr>
          <w:rFonts w:cstheme="minorHAnsi"/>
        </w:rPr>
        <w:t xml:space="preserve">the </w:t>
      </w:r>
      <w:r w:rsidRPr="00860CAE">
        <w:rPr>
          <w:rFonts w:cstheme="minorHAnsi"/>
        </w:rPr>
        <w:t>creation of training logs for staff</w:t>
      </w:r>
      <w:r w:rsidR="00565D59" w:rsidRPr="00860CAE">
        <w:rPr>
          <w:rFonts w:cstheme="minorHAnsi"/>
        </w:rPr>
        <w:t>,</w:t>
      </w:r>
      <w:r w:rsidRPr="00860CAE">
        <w:rPr>
          <w:rFonts w:cstheme="minorHAnsi"/>
        </w:rPr>
        <w:t xml:space="preserve"> and</w:t>
      </w:r>
      <w:r w:rsidR="00565D59" w:rsidRPr="00860CAE">
        <w:rPr>
          <w:rFonts w:cstheme="minorHAnsi"/>
        </w:rPr>
        <w:t xml:space="preserve"> tha</w:t>
      </w:r>
      <w:r w:rsidRPr="00860CAE">
        <w:rPr>
          <w:rFonts w:cstheme="minorHAnsi"/>
        </w:rPr>
        <w:t>t procurement documentation should be held in a shared folder.</w:t>
      </w:r>
      <w:r w:rsidR="009D34C0">
        <w:rPr>
          <w:rFonts w:cstheme="minorHAnsi"/>
        </w:rPr>
        <w:t xml:space="preserve"> Both recommendations have been addressed.</w:t>
      </w:r>
    </w:p>
    <w:p w:rsidR="00CF6AA0" w:rsidRPr="00860CAE" w:rsidRDefault="00CF6AA0" w:rsidP="004F1932">
      <w:pPr>
        <w:autoSpaceDE w:val="0"/>
        <w:autoSpaceDN w:val="0"/>
        <w:adjustRightInd w:val="0"/>
        <w:spacing w:after="0" w:line="240" w:lineRule="auto"/>
        <w:rPr>
          <w:rFonts w:cstheme="minorHAnsi"/>
        </w:rPr>
      </w:pPr>
    </w:p>
    <w:p w:rsidR="001525A3" w:rsidRPr="00860CAE" w:rsidRDefault="001525A3" w:rsidP="00742DF5">
      <w:pPr>
        <w:autoSpaceDE w:val="0"/>
        <w:autoSpaceDN w:val="0"/>
        <w:adjustRightInd w:val="0"/>
        <w:spacing w:after="0" w:line="240" w:lineRule="auto"/>
        <w:rPr>
          <w:rFonts w:cstheme="minorHAnsi"/>
        </w:rPr>
      </w:pPr>
      <w:r w:rsidRPr="00860CAE">
        <w:rPr>
          <w:rFonts w:cstheme="minorHAnsi"/>
          <w:b/>
        </w:rPr>
        <w:t>14.</w:t>
      </w:r>
      <w:r w:rsidR="00D7173F" w:rsidRPr="00860CAE">
        <w:rPr>
          <w:rFonts w:cstheme="minorHAnsi"/>
          <w:b/>
        </w:rPr>
        <w:t xml:space="preserve">  </w:t>
      </w:r>
      <w:r w:rsidRPr="00860CAE">
        <w:rPr>
          <w:rFonts w:cstheme="minorHAnsi"/>
          <w:b/>
        </w:rPr>
        <w:t>Board Development Plan update</w:t>
      </w:r>
      <w:r w:rsidR="006B4EC8" w:rsidRPr="00860CAE">
        <w:rPr>
          <w:rFonts w:cstheme="minorHAnsi"/>
          <w:b/>
        </w:rPr>
        <w:t xml:space="preserve">:  </w:t>
      </w:r>
      <w:r w:rsidR="006B4EC8" w:rsidRPr="00860CAE">
        <w:rPr>
          <w:rFonts w:cstheme="minorHAnsi"/>
        </w:rPr>
        <w:t>Diane McGill spoke to her paper drawing attention to the progress being made against the Development Plan drawn up following the Self Evaluation of the Board exercise carried out earlier in the year.  This paper will go to the Board for approval on 10</w:t>
      </w:r>
      <w:r w:rsidR="00D0591F" w:rsidRPr="00860CAE">
        <w:rPr>
          <w:rFonts w:cstheme="minorHAnsi"/>
        </w:rPr>
        <w:t>th</w:t>
      </w:r>
      <w:r w:rsidR="006B4EC8" w:rsidRPr="00860CAE">
        <w:rPr>
          <w:rFonts w:cstheme="minorHAnsi"/>
        </w:rPr>
        <w:t xml:space="preserve"> December 2024.</w:t>
      </w:r>
    </w:p>
    <w:p w:rsidR="001525A3" w:rsidRPr="00860CAE" w:rsidRDefault="001525A3" w:rsidP="004F193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4F1932" w:rsidRPr="00860CAE" w:rsidRDefault="004F1932" w:rsidP="004F193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860CAE">
        <w:rPr>
          <w:rFonts w:eastAsia="Times New Roman" w:cstheme="minorHAnsi"/>
          <w:b/>
        </w:rPr>
        <w:t>1</w:t>
      </w:r>
      <w:r w:rsidR="001525A3" w:rsidRPr="00860CAE">
        <w:rPr>
          <w:rFonts w:eastAsia="Times New Roman" w:cstheme="minorHAnsi"/>
          <w:b/>
        </w:rPr>
        <w:t>5</w:t>
      </w:r>
      <w:r w:rsidRPr="00860CAE">
        <w:rPr>
          <w:rFonts w:eastAsia="Times New Roman" w:cstheme="minorHAnsi"/>
          <w:b/>
        </w:rPr>
        <w:t xml:space="preserve">. Approval of Publication of Committee Papers: </w:t>
      </w:r>
    </w:p>
    <w:p w:rsidR="004F1932" w:rsidRPr="00860CAE" w:rsidRDefault="004F1932" w:rsidP="004F1932">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rsidR="004F1932" w:rsidRPr="00860CAE" w:rsidRDefault="004F1932" w:rsidP="004F1932">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sidRPr="00860CAE">
        <w:rPr>
          <w:rFonts w:eastAsia="Times New Roman" w:cstheme="minorHAnsi"/>
          <w:b/>
        </w:rPr>
        <w:t>1</w:t>
      </w:r>
      <w:r w:rsidR="001525A3" w:rsidRPr="00860CAE">
        <w:rPr>
          <w:rFonts w:eastAsia="Times New Roman" w:cstheme="minorHAnsi"/>
          <w:b/>
        </w:rPr>
        <w:t>5.</w:t>
      </w:r>
      <w:r w:rsidRPr="00860CAE">
        <w:rPr>
          <w:rFonts w:eastAsia="Times New Roman" w:cstheme="minorHAnsi"/>
          <w:b/>
        </w:rPr>
        <w:t xml:space="preserve">1 </w:t>
      </w:r>
      <w:r w:rsidRPr="00860CAE">
        <w:rPr>
          <w:rFonts w:eastAsia="Times New Roman" w:cstheme="minorHAnsi"/>
        </w:rPr>
        <w:t>The committee approved the publication of the agenda, the minute, the Matters Arising paper, The Technical Bulletin</w:t>
      </w:r>
      <w:r w:rsidR="00742DF5" w:rsidRPr="00860CAE">
        <w:rPr>
          <w:rFonts w:eastAsia="Times New Roman" w:cstheme="minorHAnsi"/>
        </w:rPr>
        <w:t>, The Audit Scotland Scotland’s Colleges 2024 review, and the Board Development Plan update.</w:t>
      </w:r>
    </w:p>
    <w:p w:rsidR="004F1932" w:rsidRPr="00860CAE" w:rsidRDefault="004F1932" w:rsidP="004F1932">
      <w:pPr>
        <w:tabs>
          <w:tab w:val="left" w:pos="0"/>
          <w:tab w:val="num" w:pos="284"/>
          <w:tab w:val="left" w:pos="7371"/>
          <w:tab w:val="left" w:pos="7938"/>
          <w:tab w:val="right" w:pos="8789"/>
        </w:tabs>
        <w:spacing w:after="0" w:line="240" w:lineRule="auto"/>
        <w:jc w:val="both"/>
        <w:rPr>
          <w:rFonts w:eastAsia="Times New Roman" w:cstheme="minorHAnsi"/>
          <w:b/>
        </w:rPr>
      </w:pPr>
    </w:p>
    <w:p w:rsidR="004F1932" w:rsidRPr="00860CAE" w:rsidRDefault="004F1932" w:rsidP="004F1932">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sidRPr="00860CAE">
        <w:rPr>
          <w:rFonts w:eastAsia="Times New Roman" w:cstheme="minorHAnsi"/>
          <w:b/>
        </w:rPr>
        <w:t>1</w:t>
      </w:r>
      <w:r w:rsidR="001525A3" w:rsidRPr="00860CAE">
        <w:rPr>
          <w:rFonts w:eastAsia="Times New Roman" w:cstheme="minorHAnsi"/>
          <w:b/>
        </w:rPr>
        <w:t>6</w:t>
      </w:r>
      <w:r w:rsidRPr="00860CAE">
        <w:rPr>
          <w:rFonts w:eastAsia="Times New Roman" w:cstheme="minorHAnsi"/>
          <w:b/>
        </w:rPr>
        <w:t xml:space="preserve">. AOB: </w:t>
      </w:r>
      <w:r w:rsidRPr="00860CAE">
        <w:rPr>
          <w:rFonts w:eastAsia="Times New Roman" w:cstheme="minorHAnsi"/>
        </w:rPr>
        <w:t>There was no other business.</w:t>
      </w:r>
    </w:p>
    <w:p w:rsidR="004F1932" w:rsidRPr="00860CAE" w:rsidRDefault="004F1932" w:rsidP="004F1932">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265786" w:rsidRPr="00860CAE" w:rsidRDefault="004F1932" w:rsidP="00021BC4">
      <w:pPr>
        <w:tabs>
          <w:tab w:val="left" w:pos="567"/>
          <w:tab w:val="left" w:pos="851"/>
          <w:tab w:val="num" w:pos="1134"/>
          <w:tab w:val="left" w:pos="7371"/>
          <w:tab w:val="left" w:pos="7938"/>
          <w:tab w:val="right" w:pos="8789"/>
        </w:tabs>
        <w:spacing w:after="0" w:line="240" w:lineRule="auto"/>
        <w:jc w:val="both"/>
        <w:rPr>
          <w:b/>
        </w:rPr>
      </w:pPr>
      <w:r w:rsidRPr="00860CAE">
        <w:rPr>
          <w:rFonts w:eastAsia="Times New Roman" w:cstheme="minorHAnsi"/>
          <w:b/>
        </w:rPr>
        <w:t>1</w:t>
      </w:r>
      <w:r w:rsidR="001525A3" w:rsidRPr="00860CAE">
        <w:rPr>
          <w:rFonts w:eastAsia="Times New Roman" w:cstheme="minorHAnsi"/>
          <w:b/>
        </w:rPr>
        <w:t>7</w:t>
      </w:r>
      <w:r w:rsidRPr="00860CAE">
        <w:rPr>
          <w:rFonts w:eastAsia="Times New Roman" w:cstheme="minorHAnsi"/>
          <w:b/>
        </w:rPr>
        <w:t xml:space="preserve">. Date of Next Meeting: </w:t>
      </w:r>
      <w:r w:rsidRPr="00860CAE">
        <w:rPr>
          <w:rFonts w:eastAsia="Times New Roman" w:cstheme="minorHAnsi"/>
        </w:rPr>
        <w:t xml:space="preserve">The date for the next scheduled meeting is </w:t>
      </w:r>
      <w:r w:rsidRPr="00860CAE">
        <w:rPr>
          <w:rFonts w:eastAsia="Times New Roman" w:cstheme="minorHAnsi"/>
          <w:b/>
        </w:rPr>
        <w:t xml:space="preserve">Monday </w:t>
      </w:r>
      <w:r w:rsidR="001525A3" w:rsidRPr="00860CAE">
        <w:rPr>
          <w:rFonts w:eastAsia="Times New Roman" w:cstheme="minorHAnsi"/>
          <w:b/>
        </w:rPr>
        <w:t xml:space="preserve">17 February, 2025 </w:t>
      </w:r>
      <w:r w:rsidRPr="00860CAE">
        <w:rPr>
          <w:rFonts w:eastAsia="Times New Roman" w:cstheme="minorHAnsi"/>
          <w:b/>
        </w:rPr>
        <w:t>at the Cumbernauld Campus</w:t>
      </w:r>
      <w:r w:rsidR="001525A3" w:rsidRPr="00860CAE">
        <w:rPr>
          <w:rFonts w:eastAsia="Times New Roman" w:cstheme="minorHAnsi"/>
          <w:b/>
        </w:rPr>
        <w:t xml:space="preserve"> and via Zoom</w:t>
      </w:r>
    </w:p>
    <w:p w:rsidR="00265786" w:rsidRPr="00860CAE" w:rsidRDefault="00265786">
      <w:pPr>
        <w:rPr>
          <w:b/>
        </w:rPr>
      </w:pPr>
    </w:p>
    <w:p w:rsidR="00265786" w:rsidRDefault="00265786">
      <w:pPr>
        <w:rPr>
          <w:b/>
        </w:rPr>
      </w:pPr>
    </w:p>
    <w:p w:rsidR="00265786" w:rsidRDefault="00265786">
      <w:pPr>
        <w:rPr>
          <w:b/>
        </w:rPr>
      </w:pPr>
    </w:p>
    <w:p w:rsidR="00265786" w:rsidRDefault="00265786">
      <w:pPr>
        <w:rPr>
          <w:b/>
        </w:rPr>
      </w:pPr>
    </w:p>
    <w:p w:rsidR="00265786" w:rsidRPr="001525A3" w:rsidRDefault="00265786">
      <w:pPr>
        <w:rPr>
          <w:b/>
        </w:rPr>
      </w:pPr>
    </w:p>
    <w:sectPr w:rsidR="00265786" w:rsidRPr="001525A3" w:rsidSect="00976791">
      <w:headerReference w:type="even" r:id="rId10"/>
      <w:headerReference w:type="default" r:id="rId11"/>
      <w:footerReference w:type="default" r:id="rId12"/>
      <w:headerReference w:type="first" r:id="rId13"/>
      <w:pgSz w:w="11906" w:h="16838" w:code="9"/>
      <w:pgMar w:top="1440" w:right="851" w:bottom="1361"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721" w:rsidRDefault="00136721" w:rsidP="00A4176A">
      <w:pPr>
        <w:spacing w:after="0" w:line="240" w:lineRule="auto"/>
      </w:pPr>
      <w:r>
        <w:separator/>
      </w:r>
    </w:p>
  </w:endnote>
  <w:endnote w:type="continuationSeparator" w:id="0">
    <w:p w:rsidR="00136721" w:rsidRDefault="00136721" w:rsidP="00A4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91" w:rsidRPr="001455D3" w:rsidRDefault="00976791" w:rsidP="00254FA9">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rsidR="00976791" w:rsidRDefault="00254FA9" w:rsidP="00254FA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721" w:rsidRDefault="00136721" w:rsidP="00A4176A">
      <w:pPr>
        <w:spacing w:after="0" w:line="240" w:lineRule="auto"/>
      </w:pPr>
      <w:r>
        <w:separator/>
      </w:r>
    </w:p>
  </w:footnote>
  <w:footnote w:type="continuationSeparator" w:id="0">
    <w:p w:rsidR="00136721" w:rsidRDefault="00136721" w:rsidP="00A41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91" w:rsidRDefault="00976791">
    <w:pPr>
      <w:pStyle w:val="Header"/>
    </w:pPr>
    <w:r>
      <w:rPr>
        <w:noProof/>
      </w:rPr>
      <mc:AlternateContent>
        <mc:Choice Requires="wps">
          <w:drawing>
            <wp:anchor distT="0" distB="0" distL="114300" distR="114300" simplePos="0" relativeHeight="251656704" behindDoc="1" locked="0" layoutInCell="0" allowOverlap="1" wp14:anchorId="6D47A232" wp14:editId="2FB7B62A">
              <wp:simplePos x="0" y="0"/>
              <wp:positionH relativeFrom="margin">
                <wp:align>center</wp:align>
              </wp:positionH>
              <wp:positionV relativeFrom="margin">
                <wp:align>center</wp:align>
              </wp:positionV>
              <wp:extent cx="5380355" cy="3227705"/>
              <wp:effectExtent l="0" t="781050" r="0" b="6299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80355"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76791" w:rsidRDefault="00976791" w:rsidP="004F193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47A232" id="_x0000_t202" coordsize="21600,21600" o:spt="202" path="m,l,21600r21600,l21600,xe">
              <v:stroke joinstyle="miter"/>
              <v:path gradientshapeok="t" o:connecttype="rect"/>
            </v:shapetype>
            <v:shape id="Text Box 2" o:spid="_x0000_s1026" type="#_x0000_t202" style="position:absolute;margin-left:0;margin-top:0;width:423.65pt;height:25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" o:allowincell="f" filled="f" stroked="f">
              <v:stroke joinstyle="round"/>
              <o:lock v:ext="edit" shapetype="t"/>
              <v:textbox style="mso-fit-shape-to-text:t">
                <w:txbxContent>
                  <w:p w:rsidR="00976791" w:rsidRDefault="00976791" w:rsidP="004F193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91" w:rsidRDefault="00976791" w:rsidP="00976791">
    <w:pPr>
      <w:pStyle w:val="Header"/>
      <w:rPr>
        <w:rFonts w:ascii="Copperplate Gothic Bold" w:hAnsi="Copperplate Gothic Bold"/>
      </w:rPr>
    </w:pPr>
    <w:r>
      <w:rPr>
        <w:noProof/>
        <w:lang w:eastAsia="en-GB"/>
      </w:rPr>
      <w:drawing>
        <wp:anchor distT="0" distB="0" distL="114300" distR="114300" simplePos="0" relativeHeight="251655680" behindDoc="1" locked="0" layoutInCell="1" allowOverlap="1" wp14:anchorId="46EF0326" wp14:editId="35D42786">
          <wp:simplePos x="0" y="0"/>
          <wp:positionH relativeFrom="margin">
            <wp:align>left</wp:align>
          </wp:positionH>
          <wp:positionV relativeFrom="paragraph">
            <wp:posOffset>-229235</wp:posOffset>
          </wp:positionV>
          <wp:extent cx="2109230" cy="694267"/>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rsidR="00976791" w:rsidRPr="00A937B2" w:rsidRDefault="00976791" w:rsidP="00976791">
    <w:pPr>
      <w:pStyle w:val="Header"/>
      <w:tabs>
        <w:tab w:val="clear" w:pos="9026"/>
        <w:tab w:val="right" w:pos="5529"/>
      </w:tabs>
      <w:rPr>
        <w:rFonts w:ascii="Broadway" w:hAnsi="Broadway"/>
      </w:rPr>
    </w:pPr>
    <w:r>
      <w:rPr>
        <w:rFonts w:ascii="Copperplate Gothic Bold" w:hAnsi="Copperplate Gothic Bold"/>
      </w:rPr>
      <w:tab/>
    </w:r>
    <w:r>
      <w:rPr>
        <w:rFonts w:ascii="Copperplate Gothic Bold" w:hAnsi="Copperplate Gothic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91" w:rsidRDefault="0097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1AF"/>
    <w:multiLevelType w:val="multilevel"/>
    <w:tmpl w:val="8C62F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E15A4"/>
    <w:multiLevelType w:val="multilevel"/>
    <w:tmpl w:val="EF96C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F5743"/>
    <w:multiLevelType w:val="multilevel"/>
    <w:tmpl w:val="E54E5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923F0"/>
    <w:multiLevelType w:val="hybridMultilevel"/>
    <w:tmpl w:val="765A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63369"/>
    <w:multiLevelType w:val="multilevel"/>
    <w:tmpl w:val="EBDC00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518F4"/>
    <w:multiLevelType w:val="multilevel"/>
    <w:tmpl w:val="EDFEB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247"/>
    <w:multiLevelType w:val="multilevel"/>
    <w:tmpl w:val="242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E7E63"/>
    <w:multiLevelType w:val="hybridMultilevel"/>
    <w:tmpl w:val="C7AC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10117"/>
    <w:multiLevelType w:val="hybridMultilevel"/>
    <w:tmpl w:val="D994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16BDD"/>
    <w:multiLevelType w:val="multilevel"/>
    <w:tmpl w:val="7CDEDF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66B4D"/>
    <w:multiLevelType w:val="hybridMultilevel"/>
    <w:tmpl w:val="49F2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731A1"/>
    <w:multiLevelType w:val="multilevel"/>
    <w:tmpl w:val="5580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921DA"/>
    <w:multiLevelType w:val="multilevel"/>
    <w:tmpl w:val="E0CEB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83C8E"/>
    <w:multiLevelType w:val="multilevel"/>
    <w:tmpl w:val="A0C4E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D194F"/>
    <w:multiLevelType w:val="hybridMultilevel"/>
    <w:tmpl w:val="420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81972"/>
    <w:multiLevelType w:val="multilevel"/>
    <w:tmpl w:val="9F0C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B315CE"/>
    <w:multiLevelType w:val="multilevel"/>
    <w:tmpl w:val="8D2EB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43A5A"/>
    <w:multiLevelType w:val="multilevel"/>
    <w:tmpl w:val="97B8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FE0A05"/>
    <w:multiLevelType w:val="multilevel"/>
    <w:tmpl w:val="4AA04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A0DA7"/>
    <w:multiLevelType w:val="hybridMultilevel"/>
    <w:tmpl w:val="055A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856D7"/>
    <w:multiLevelType w:val="multilevel"/>
    <w:tmpl w:val="A0346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9138C"/>
    <w:multiLevelType w:val="multilevel"/>
    <w:tmpl w:val="28F48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9080C"/>
    <w:multiLevelType w:val="multilevel"/>
    <w:tmpl w:val="C13E0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C00DC"/>
    <w:multiLevelType w:val="multilevel"/>
    <w:tmpl w:val="6DBAF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792B52"/>
    <w:multiLevelType w:val="multilevel"/>
    <w:tmpl w:val="655AB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043C42"/>
    <w:multiLevelType w:val="multilevel"/>
    <w:tmpl w:val="FE828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9543E6"/>
    <w:multiLevelType w:val="multilevel"/>
    <w:tmpl w:val="2AF42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C7FF5"/>
    <w:multiLevelType w:val="multilevel"/>
    <w:tmpl w:val="6BDE8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234421"/>
    <w:multiLevelType w:val="multilevel"/>
    <w:tmpl w:val="C414C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551AB3"/>
    <w:multiLevelType w:val="hybridMultilevel"/>
    <w:tmpl w:val="DA12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82152"/>
    <w:multiLevelType w:val="multilevel"/>
    <w:tmpl w:val="0EE6E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F6C6F"/>
    <w:multiLevelType w:val="multilevel"/>
    <w:tmpl w:val="38BC0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44143"/>
    <w:multiLevelType w:val="multilevel"/>
    <w:tmpl w:val="C92C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D06BD1"/>
    <w:multiLevelType w:val="multilevel"/>
    <w:tmpl w:val="E85ED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066C0E"/>
    <w:multiLevelType w:val="multilevel"/>
    <w:tmpl w:val="34B67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7"/>
  </w:num>
  <w:num w:numId="4">
    <w:abstractNumId w:val="20"/>
  </w:num>
  <w:num w:numId="5">
    <w:abstractNumId w:val="12"/>
  </w:num>
  <w:num w:numId="6">
    <w:abstractNumId w:val="4"/>
  </w:num>
  <w:num w:numId="7">
    <w:abstractNumId w:val="33"/>
  </w:num>
  <w:num w:numId="8">
    <w:abstractNumId w:val="25"/>
  </w:num>
  <w:num w:numId="9">
    <w:abstractNumId w:val="32"/>
  </w:num>
  <w:num w:numId="10">
    <w:abstractNumId w:val="27"/>
  </w:num>
  <w:num w:numId="11">
    <w:abstractNumId w:val="34"/>
  </w:num>
  <w:num w:numId="12">
    <w:abstractNumId w:val="23"/>
  </w:num>
  <w:num w:numId="13">
    <w:abstractNumId w:val="15"/>
  </w:num>
  <w:num w:numId="14">
    <w:abstractNumId w:val="6"/>
  </w:num>
  <w:num w:numId="15">
    <w:abstractNumId w:val="0"/>
  </w:num>
  <w:num w:numId="16">
    <w:abstractNumId w:val="21"/>
  </w:num>
  <w:num w:numId="17">
    <w:abstractNumId w:val="28"/>
  </w:num>
  <w:num w:numId="18">
    <w:abstractNumId w:val="1"/>
  </w:num>
  <w:num w:numId="19">
    <w:abstractNumId w:val="5"/>
  </w:num>
  <w:num w:numId="20">
    <w:abstractNumId w:val="11"/>
  </w:num>
  <w:num w:numId="21">
    <w:abstractNumId w:val="13"/>
  </w:num>
  <w:num w:numId="22">
    <w:abstractNumId w:val="26"/>
  </w:num>
  <w:num w:numId="23">
    <w:abstractNumId w:val="2"/>
  </w:num>
  <w:num w:numId="24">
    <w:abstractNumId w:val="22"/>
  </w:num>
  <w:num w:numId="25">
    <w:abstractNumId w:val="31"/>
  </w:num>
  <w:num w:numId="26">
    <w:abstractNumId w:val="9"/>
  </w:num>
  <w:num w:numId="27">
    <w:abstractNumId w:val="17"/>
  </w:num>
  <w:num w:numId="28">
    <w:abstractNumId w:val="18"/>
  </w:num>
  <w:num w:numId="29">
    <w:abstractNumId w:val="30"/>
  </w:num>
  <w:num w:numId="30">
    <w:abstractNumId w:val="24"/>
  </w:num>
  <w:num w:numId="31">
    <w:abstractNumId w:val="16"/>
  </w:num>
  <w:num w:numId="32">
    <w:abstractNumId w:val="19"/>
  </w:num>
  <w:num w:numId="33">
    <w:abstractNumId w:val="29"/>
  </w:num>
  <w:num w:numId="34">
    <w:abstractNumId w:va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32"/>
    <w:rsid w:val="00021BC4"/>
    <w:rsid w:val="0002572C"/>
    <w:rsid w:val="000A629E"/>
    <w:rsid w:val="000D295E"/>
    <w:rsid w:val="000F3B8D"/>
    <w:rsid w:val="001058A4"/>
    <w:rsid w:val="00136721"/>
    <w:rsid w:val="001525A3"/>
    <w:rsid w:val="0016785A"/>
    <w:rsid w:val="0017393A"/>
    <w:rsid w:val="00254131"/>
    <w:rsid w:val="00254FA9"/>
    <w:rsid w:val="00264332"/>
    <w:rsid w:val="00265786"/>
    <w:rsid w:val="0028194E"/>
    <w:rsid w:val="00281BAA"/>
    <w:rsid w:val="002930FB"/>
    <w:rsid w:val="002A3006"/>
    <w:rsid w:val="002A367B"/>
    <w:rsid w:val="00303F6B"/>
    <w:rsid w:val="0034029E"/>
    <w:rsid w:val="00342BA3"/>
    <w:rsid w:val="00345C11"/>
    <w:rsid w:val="00346FDB"/>
    <w:rsid w:val="0038499A"/>
    <w:rsid w:val="003978E2"/>
    <w:rsid w:val="003A2DC6"/>
    <w:rsid w:val="00466D31"/>
    <w:rsid w:val="0047258F"/>
    <w:rsid w:val="00474196"/>
    <w:rsid w:val="004B399E"/>
    <w:rsid w:val="004F0B07"/>
    <w:rsid w:val="004F1932"/>
    <w:rsid w:val="005220A5"/>
    <w:rsid w:val="00565D59"/>
    <w:rsid w:val="005853DF"/>
    <w:rsid w:val="005A3833"/>
    <w:rsid w:val="005E2BA5"/>
    <w:rsid w:val="00650560"/>
    <w:rsid w:val="006B4EC8"/>
    <w:rsid w:val="006F504E"/>
    <w:rsid w:val="00725388"/>
    <w:rsid w:val="00742DF5"/>
    <w:rsid w:val="00743011"/>
    <w:rsid w:val="00754C7F"/>
    <w:rsid w:val="007C3C77"/>
    <w:rsid w:val="00806ACE"/>
    <w:rsid w:val="008153A2"/>
    <w:rsid w:val="008405FE"/>
    <w:rsid w:val="008454C0"/>
    <w:rsid w:val="00860CAE"/>
    <w:rsid w:val="008759C6"/>
    <w:rsid w:val="008808BD"/>
    <w:rsid w:val="008D31B9"/>
    <w:rsid w:val="008D66CE"/>
    <w:rsid w:val="008E11BE"/>
    <w:rsid w:val="009010A7"/>
    <w:rsid w:val="00910FFF"/>
    <w:rsid w:val="00971AF3"/>
    <w:rsid w:val="00976791"/>
    <w:rsid w:val="009C6070"/>
    <w:rsid w:val="009D3285"/>
    <w:rsid w:val="009D34C0"/>
    <w:rsid w:val="009D4652"/>
    <w:rsid w:val="009E61E9"/>
    <w:rsid w:val="009F745D"/>
    <w:rsid w:val="00A023B9"/>
    <w:rsid w:val="00A4176A"/>
    <w:rsid w:val="00A95B23"/>
    <w:rsid w:val="00B03C67"/>
    <w:rsid w:val="00B06451"/>
    <w:rsid w:val="00B136B6"/>
    <w:rsid w:val="00B54E98"/>
    <w:rsid w:val="00C06D6D"/>
    <w:rsid w:val="00C921A7"/>
    <w:rsid w:val="00CB1BE8"/>
    <w:rsid w:val="00CC3767"/>
    <w:rsid w:val="00CD426A"/>
    <w:rsid w:val="00CE27A3"/>
    <w:rsid w:val="00CF1FB8"/>
    <w:rsid w:val="00CF6AA0"/>
    <w:rsid w:val="00D04B57"/>
    <w:rsid w:val="00D0591F"/>
    <w:rsid w:val="00D663F4"/>
    <w:rsid w:val="00D7173F"/>
    <w:rsid w:val="00DC7540"/>
    <w:rsid w:val="00DD1550"/>
    <w:rsid w:val="00DF175B"/>
    <w:rsid w:val="00E16B95"/>
    <w:rsid w:val="00E86325"/>
    <w:rsid w:val="00E9595D"/>
    <w:rsid w:val="00EC1502"/>
    <w:rsid w:val="00ED40A2"/>
    <w:rsid w:val="00ED5CCD"/>
    <w:rsid w:val="00EF0ABF"/>
    <w:rsid w:val="00F049E5"/>
    <w:rsid w:val="00F1259C"/>
    <w:rsid w:val="00F16302"/>
    <w:rsid w:val="00F55AC2"/>
    <w:rsid w:val="00F65B17"/>
    <w:rsid w:val="00F67145"/>
    <w:rsid w:val="00F854D6"/>
    <w:rsid w:val="00FA0C3B"/>
    <w:rsid w:val="00FF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C0709-D431-4A89-85B8-B14ACA6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9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1932"/>
    <w:pPr>
      <w:ind w:left="720"/>
      <w:contextualSpacing/>
    </w:pPr>
  </w:style>
  <w:style w:type="paragraph" w:styleId="Header">
    <w:name w:val="header"/>
    <w:basedOn w:val="Normal"/>
    <w:link w:val="HeaderChar"/>
    <w:uiPriority w:val="99"/>
    <w:unhideWhenUsed/>
    <w:rsid w:val="004F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932"/>
  </w:style>
  <w:style w:type="paragraph" w:styleId="Footer">
    <w:name w:val="footer"/>
    <w:basedOn w:val="Normal"/>
    <w:link w:val="FooterChar"/>
    <w:uiPriority w:val="99"/>
    <w:unhideWhenUsed/>
    <w:rsid w:val="004F1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932"/>
  </w:style>
  <w:style w:type="paragraph" w:customStyle="1" w:styleId="Default">
    <w:name w:val="Default"/>
    <w:rsid w:val="004F193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4F1932"/>
  </w:style>
  <w:style w:type="paragraph" w:styleId="NormalWeb">
    <w:name w:val="Normal (Web)"/>
    <w:basedOn w:val="Normal"/>
    <w:uiPriority w:val="99"/>
    <w:semiHidden/>
    <w:unhideWhenUsed/>
    <w:rsid w:val="004F193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397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78E2"/>
  </w:style>
  <w:style w:type="character" w:customStyle="1" w:styleId="eop">
    <w:name w:val="eop"/>
    <w:basedOn w:val="DefaultParagraphFont"/>
    <w:rsid w:val="003978E2"/>
  </w:style>
  <w:style w:type="character" w:styleId="CommentReference">
    <w:name w:val="annotation reference"/>
    <w:basedOn w:val="DefaultParagraphFont"/>
    <w:uiPriority w:val="99"/>
    <w:semiHidden/>
    <w:unhideWhenUsed/>
    <w:rsid w:val="00DC7540"/>
    <w:rPr>
      <w:sz w:val="16"/>
      <w:szCs w:val="16"/>
    </w:rPr>
  </w:style>
  <w:style w:type="paragraph" w:styleId="CommentText">
    <w:name w:val="annotation text"/>
    <w:basedOn w:val="Normal"/>
    <w:link w:val="CommentTextChar"/>
    <w:uiPriority w:val="99"/>
    <w:semiHidden/>
    <w:unhideWhenUsed/>
    <w:rsid w:val="00DC7540"/>
    <w:pPr>
      <w:spacing w:line="240" w:lineRule="auto"/>
    </w:pPr>
    <w:rPr>
      <w:sz w:val="20"/>
      <w:szCs w:val="20"/>
    </w:rPr>
  </w:style>
  <w:style w:type="character" w:customStyle="1" w:styleId="CommentTextChar">
    <w:name w:val="Comment Text Char"/>
    <w:basedOn w:val="DefaultParagraphFont"/>
    <w:link w:val="CommentText"/>
    <w:uiPriority w:val="99"/>
    <w:semiHidden/>
    <w:rsid w:val="00DC7540"/>
    <w:rPr>
      <w:sz w:val="20"/>
      <w:szCs w:val="20"/>
    </w:rPr>
  </w:style>
  <w:style w:type="paragraph" w:styleId="CommentSubject">
    <w:name w:val="annotation subject"/>
    <w:basedOn w:val="CommentText"/>
    <w:next w:val="CommentText"/>
    <w:link w:val="CommentSubjectChar"/>
    <w:uiPriority w:val="99"/>
    <w:semiHidden/>
    <w:unhideWhenUsed/>
    <w:rsid w:val="00DC7540"/>
    <w:rPr>
      <w:b/>
      <w:bCs/>
    </w:rPr>
  </w:style>
  <w:style w:type="character" w:customStyle="1" w:styleId="CommentSubjectChar">
    <w:name w:val="Comment Subject Char"/>
    <w:basedOn w:val="CommentTextChar"/>
    <w:link w:val="CommentSubject"/>
    <w:uiPriority w:val="99"/>
    <w:semiHidden/>
    <w:rsid w:val="00DC7540"/>
    <w:rPr>
      <w:b/>
      <w:bCs/>
      <w:sz w:val="20"/>
      <w:szCs w:val="20"/>
    </w:rPr>
  </w:style>
  <w:style w:type="paragraph" w:styleId="BalloonText">
    <w:name w:val="Balloon Text"/>
    <w:basedOn w:val="Normal"/>
    <w:link w:val="BalloonTextChar"/>
    <w:uiPriority w:val="99"/>
    <w:semiHidden/>
    <w:unhideWhenUsed/>
    <w:rsid w:val="00DC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142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29">
          <w:marLeft w:val="0"/>
          <w:marRight w:val="0"/>
          <w:marTop w:val="0"/>
          <w:marBottom w:val="0"/>
          <w:divBdr>
            <w:top w:val="none" w:sz="0" w:space="0" w:color="auto"/>
            <w:left w:val="none" w:sz="0" w:space="0" w:color="auto"/>
            <w:bottom w:val="none" w:sz="0" w:space="0" w:color="auto"/>
            <w:right w:val="none" w:sz="0" w:space="0" w:color="auto"/>
          </w:divBdr>
        </w:div>
      </w:divsChild>
    </w:div>
    <w:div w:id="620068432">
      <w:bodyDiv w:val="1"/>
      <w:marLeft w:val="0"/>
      <w:marRight w:val="0"/>
      <w:marTop w:val="0"/>
      <w:marBottom w:val="0"/>
      <w:divBdr>
        <w:top w:val="none" w:sz="0" w:space="0" w:color="auto"/>
        <w:left w:val="none" w:sz="0" w:space="0" w:color="auto"/>
        <w:bottom w:val="none" w:sz="0" w:space="0" w:color="auto"/>
        <w:right w:val="none" w:sz="0" w:space="0" w:color="auto"/>
      </w:divBdr>
      <w:divsChild>
        <w:div w:id="2023314636">
          <w:marLeft w:val="0"/>
          <w:marRight w:val="0"/>
          <w:marTop w:val="0"/>
          <w:marBottom w:val="0"/>
          <w:divBdr>
            <w:top w:val="none" w:sz="0" w:space="0" w:color="auto"/>
            <w:left w:val="none" w:sz="0" w:space="0" w:color="auto"/>
            <w:bottom w:val="none" w:sz="0" w:space="0" w:color="auto"/>
            <w:right w:val="none" w:sz="0" w:space="0" w:color="auto"/>
          </w:divBdr>
        </w:div>
        <w:div w:id="665862586">
          <w:marLeft w:val="0"/>
          <w:marRight w:val="0"/>
          <w:marTop w:val="0"/>
          <w:marBottom w:val="0"/>
          <w:divBdr>
            <w:top w:val="none" w:sz="0" w:space="0" w:color="auto"/>
            <w:left w:val="none" w:sz="0" w:space="0" w:color="auto"/>
            <w:bottom w:val="none" w:sz="0" w:space="0" w:color="auto"/>
            <w:right w:val="none" w:sz="0" w:space="0" w:color="auto"/>
          </w:divBdr>
        </w:div>
        <w:div w:id="1974486230">
          <w:marLeft w:val="0"/>
          <w:marRight w:val="0"/>
          <w:marTop w:val="0"/>
          <w:marBottom w:val="0"/>
          <w:divBdr>
            <w:top w:val="none" w:sz="0" w:space="0" w:color="auto"/>
            <w:left w:val="none" w:sz="0" w:space="0" w:color="auto"/>
            <w:bottom w:val="none" w:sz="0" w:space="0" w:color="auto"/>
            <w:right w:val="none" w:sz="0" w:space="0" w:color="auto"/>
          </w:divBdr>
        </w:div>
        <w:div w:id="1704790561">
          <w:marLeft w:val="0"/>
          <w:marRight w:val="0"/>
          <w:marTop w:val="0"/>
          <w:marBottom w:val="0"/>
          <w:divBdr>
            <w:top w:val="none" w:sz="0" w:space="0" w:color="auto"/>
            <w:left w:val="none" w:sz="0" w:space="0" w:color="auto"/>
            <w:bottom w:val="none" w:sz="0" w:space="0" w:color="auto"/>
            <w:right w:val="none" w:sz="0" w:space="0" w:color="auto"/>
          </w:divBdr>
        </w:div>
        <w:div w:id="2135974511">
          <w:marLeft w:val="0"/>
          <w:marRight w:val="0"/>
          <w:marTop w:val="0"/>
          <w:marBottom w:val="0"/>
          <w:divBdr>
            <w:top w:val="none" w:sz="0" w:space="0" w:color="auto"/>
            <w:left w:val="none" w:sz="0" w:space="0" w:color="auto"/>
            <w:bottom w:val="none" w:sz="0" w:space="0" w:color="auto"/>
            <w:right w:val="none" w:sz="0" w:space="0" w:color="auto"/>
          </w:divBdr>
        </w:div>
        <w:div w:id="1430126829">
          <w:marLeft w:val="0"/>
          <w:marRight w:val="0"/>
          <w:marTop w:val="0"/>
          <w:marBottom w:val="0"/>
          <w:divBdr>
            <w:top w:val="none" w:sz="0" w:space="0" w:color="auto"/>
            <w:left w:val="none" w:sz="0" w:space="0" w:color="auto"/>
            <w:bottom w:val="none" w:sz="0" w:space="0" w:color="auto"/>
            <w:right w:val="none" w:sz="0" w:space="0" w:color="auto"/>
          </w:divBdr>
        </w:div>
        <w:div w:id="2009206367">
          <w:marLeft w:val="0"/>
          <w:marRight w:val="0"/>
          <w:marTop w:val="0"/>
          <w:marBottom w:val="0"/>
          <w:divBdr>
            <w:top w:val="none" w:sz="0" w:space="0" w:color="auto"/>
            <w:left w:val="none" w:sz="0" w:space="0" w:color="auto"/>
            <w:bottom w:val="none" w:sz="0" w:space="0" w:color="auto"/>
            <w:right w:val="none" w:sz="0" w:space="0" w:color="auto"/>
          </w:divBdr>
        </w:div>
        <w:div w:id="1821194777">
          <w:marLeft w:val="0"/>
          <w:marRight w:val="0"/>
          <w:marTop w:val="0"/>
          <w:marBottom w:val="0"/>
          <w:divBdr>
            <w:top w:val="none" w:sz="0" w:space="0" w:color="auto"/>
            <w:left w:val="none" w:sz="0" w:space="0" w:color="auto"/>
            <w:bottom w:val="none" w:sz="0" w:space="0" w:color="auto"/>
            <w:right w:val="none" w:sz="0" w:space="0" w:color="auto"/>
          </w:divBdr>
        </w:div>
        <w:div w:id="1659847662">
          <w:marLeft w:val="0"/>
          <w:marRight w:val="0"/>
          <w:marTop w:val="0"/>
          <w:marBottom w:val="0"/>
          <w:divBdr>
            <w:top w:val="none" w:sz="0" w:space="0" w:color="auto"/>
            <w:left w:val="none" w:sz="0" w:space="0" w:color="auto"/>
            <w:bottom w:val="none" w:sz="0" w:space="0" w:color="auto"/>
            <w:right w:val="none" w:sz="0" w:space="0" w:color="auto"/>
          </w:divBdr>
        </w:div>
        <w:div w:id="515314436">
          <w:marLeft w:val="0"/>
          <w:marRight w:val="0"/>
          <w:marTop w:val="0"/>
          <w:marBottom w:val="0"/>
          <w:divBdr>
            <w:top w:val="none" w:sz="0" w:space="0" w:color="auto"/>
            <w:left w:val="none" w:sz="0" w:space="0" w:color="auto"/>
            <w:bottom w:val="none" w:sz="0" w:space="0" w:color="auto"/>
            <w:right w:val="none" w:sz="0" w:space="0" w:color="auto"/>
          </w:divBdr>
        </w:div>
        <w:div w:id="1519928581">
          <w:marLeft w:val="0"/>
          <w:marRight w:val="0"/>
          <w:marTop w:val="0"/>
          <w:marBottom w:val="0"/>
          <w:divBdr>
            <w:top w:val="none" w:sz="0" w:space="0" w:color="auto"/>
            <w:left w:val="none" w:sz="0" w:space="0" w:color="auto"/>
            <w:bottom w:val="none" w:sz="0" w:space="0" w:color="auto"/>
            <w:right w:val="none" w:sz="0" w:space="0" w:color="auto"/>
          </w:divBdr>
        </w:div>
        <w:div w:id="1967002234">
          <w:marLeft w:val="0"/>
          <w:marRight w:val="0"/>
          <w:marTop w:val="0"/>
          <w:marBottom w:val="0"/>
          <w:divBdr>
            <w:top w:val="none" w:sz="0" w:space="0" w:color="auto"/>
            <w:left w:val="none" w:sz="0" w:space="0" w:color="auto"/>
            <w:bottom w:val="none" w:sz="0" w:space="0" w:color="auto"/>
            <w:right w:val="none" w:sz="0" w:space="0" w:color="auto"/>
          </w:divBdr>
        </w:div>
        <w:div w:id="1149512968">
          <w:marLeft w:val="0"/>
          <w:marRight w:val="0"/>
          <w:marTop w:val="0"/>
          <w:marBottom w:val="0"/>
          <w:divBdr>
            <w:top w:val="none" w:sz="0" w:space="0" w:color="auto"/>
            <w:left w:val="none" w:sz="0" w:space="0" w:color="auto"/>
            <w:bottom w:val="none" w:sz="0" w:space="0" w:color="auto"/>
            <w:right w:val="none" w:sz="0" w:space="0" w:color="auto"/>
          </w:divBdr>
        </w:div>
        <w:div w:id="674917824">
          <w:marLeft w:val="0"/>
          <w:marRight w:val="0"/>
          <w:marTop w:val="0"/>
          <w:marBottom w:val="0"/>
          <w:divBdr>
            <w:top w:val="none" w:sz="0" w:space="0" w:color="auto"/>
            <w:left w:val="none" w:sz="0" w:space="0" w:color="auto"/>
            <w:bottom w:val="none" w:sz="0" w:space="0" w:color="auto"/>
            <w:right w:val="none" w:sz="0" w:space="0" w:color="auto"/>
          </w:divBdr>
        </w:div>
        <w:div w:id="1650207584">
          <w:marLeft w:val="0"/>
          <w:marRight w:val="0"/>
          <w:marTop w:val="0"/>
          <w:marBottom w:val="0"/>
          <w:divBdr>
            <w:top w:val="none" w:sz="0" w:space="0" w:color="auto"/>
            <w:left w:val="none" w:sz="0" w:space="0" w:color="auto"/>
            <w:bottom w:val="none" w:sz="0" w:space="0" w:color="auto"/>
            <w:right w:val="none" w:sz="0" w:space="0" w:color="auto"/>
          </w:divBdr>
        </w:div>
        <w:div w:id="258409324">
          <w:marLeft w:val="0"/>
          <w:marRight w:val="0"/>
          <w:marTop w:val="0"/>
          <w:marBottom w:val="0"/>
          <w:divBdr>
            <w:top w:val="none" w:sz="0" w:space="0" w:color="auto"/>
            <w:left w:val="none" w:sz="0" w:space="0" w:color="auto"/>
            <w:bottom w:val="none" w:sz="0" w:space="0" w:color="auto"/>
            <w:right w:val="none" w:sz="0" w:space="0" w:color="auto"/>
          </w:divBdr>
        </w:div>
        <w:div w:id="859973298">
          <w:marLeft w:val="0"/>
          <w:marRight w:val="0"/>
          <w:marTop w:val="0"/>
          <w:marBottom w:val="0"/>
          <w:divBdr>
            <w:top w:val="none" w:sz="0" w:space="0" w:color="auto"/>
            <w:left w:val="none" w:sz="0" w:space="0" w:color="auto"/>
            <w:bottom w:val="none" w:sz="0" w:space="0" w:color="auto"/>
            <w:right w:val="none" w:sz="0" w:space="0" w:color="auto"/>
          </w:divBdr>
        </w:div>
        <w:div w:id="286281074">
          <w:marLeft w:val="0"/>
          <w:marRight w:val="0"/>
          <w:marTop w:val="0"/>
          <w:marBottom w:val="0"/>
          <w:divBdr>
            <w:top w:val="none" w:sz="0" w:space="0" w:color="auto"/>
            <w:left w:val="none" w:sz="0" w:space="0" w:color="auto"/>
            <w:bottom w:val="none" w:sz="0" w:space="0" w:color="auto"/>
            <w:right w:val="none" w:sz="0" w:space="0" w:color="auto"/>
          </w:divBdr>
        </w:div>
        <w:div w:id="464205103">
          <w:marLeft w:val="0"/>
          <w:marRight w:val="0"/>
          <w:marTop w:val="0"/>
          <w:marBottom w:val="0"/>
          <w:divBdr>
            <w:top w:val="none" w:sz="0" w:space="0" w:color="auto"/>
            <w:left w:val="none" w:sz="0" w:space="0" w:color="auto"/>
            <w:bottom w:val="none" w:sz="0" w:space="0" w:color="auto"/>
            <w:right w:val="none" w:sz="0" w:space="0" w:color="auto"/>
          </w:divBdr>
        </w:div>
        <w:div w:id="1836408532">
          <w:marLeft w:val="0"/>
          <w:marRight w:val="0"/>
          <w:marTop w:val="0"/>
          <w:marBottom w:val="0"/>
          <w:divBdr>
            <w:top w:val="none" w:sz="0" w:space="0" w:color="auto"/>
            <w:left w:val="none" w:sz="0" w:space="0" w:color="auto"/>
            <w:bottom w:val="none" w:sz="0" w:space="0" w:color="auto"/>
            <w:right w:val="none" w:sz="0" w:space="0" w:color="auto"/>
          </w:divBdr>
        </w:div>
        <w:div w:id="854612337">
          <w:marLeft w:val="0"/>
          <w:marRight w:val="0"/>
          <w:marTop w:val="0"/>
          <w:marBottom w:val="0"/>
          <w:divBdr>
            <w:top w:val="none" w:sz="0" w:space="0" w:color="auto"/>
            <w:left w:val="none" w:sz="0" w:space="0" w:color="auto"/>
            <w:bottom w:val="none" w:sz="0" w:space="0" w:color="auto"/>
            <w:right w:val="none" w:sz="0" w:space="0" w:color="auto"/>
          </w:divBdr>
        </w:div>
        <w:div w:id="1926181611">
          <w:marLeft w:val="0"/>
          <w:marRight w:val="0"/>
          <w:marTop w:val="0"/>
          <w:marBottom w:val="0"/>
          <w:divBdr>
            <w:top w:val="none" w:sz="0" w:space="0" w:color="auto"/>
            <w:left w:val="none" w:sz="0" w:space="0" w:color="auto"/>
            <w:bottom w:val="none" w:sz="0" w:space="0" w:color="auto"/>
            <w:right w:val="none" w:sz="0" w:space="0" w:color="auto"/>
          </w:divBdr>
        </w:div>
        <w:div w:id="243609235">
          <w:marLeft w:val="0"/>
          <w:marRight w:val="0"/>
          <w:marTop w:val="0"/>
          <w:marBottom w:val="0"/>
          <w:divBdr>
            <w:top w:val="none" w:sz="0" w:space="0" w:color="auto"/>
            <w:left w:val="none" w:sz="0" w:space="0" w:color="auto"/>
            <w:bottom w:val="none" w:sz="0" w:space="0" w:color="auto"/>
            <w:right w:val="none" w:sz="0" w:space="0" w:color="auto"/>
          </w:divBdr>
        </w:div>
        <w:div w:id="1571966131">
          <w:marLeft w:val="0"/>
          <w:marRight w:val="0"/>
          <w:marTop w:val="0"/>
          <w:marBottom w:val="0"/>
          <w:divBdr>
            <w:top w:val="none" w:sz="0" w:space="0" w:color="auto"/>
            <w:left w:val="none" w:sz="0" w:space="0" w:color="auto"/>
            <w:bottom w:val="none" w:sz="0" w:space="0" w:color="auto"/>
            <w:right w:val="none" w:sz="0" w:space="0" w:color="auto"/>
          </w:divBdr>
        </w:div>
        <w:div w:id="448936823">
          <w:marLeft w:val="0"/>
          <w:marRight w:val="0"/>
          <w:marTop w:val="0"/>
          <w:marBottom w:val="0"/>
          <w:divBdr>
            <w:top w:val="none" w:sz="0" w:space="0" w:color="auto"/>
            <w:left w:val="none" w:sz="0" w:space="0" w:color="auto"/>
            <w:bottom w:val="none" w:sz="0" w:space="0" w:color="auto"/>
            <w:right w:val="none" w:sz="0" w:space="0" w:color="auto"/>
          </w:divBdr>
        </w:div>
        <w:div w:id="1395851882">
          <w:marLeft w:val="0"/>
          <w:marRight w:val="0"/>
          <w:marTop w:val="0"/>
          <w:marBottom w:val="0"/>
          <w:divBdr>
            <w:top w:val="none" w:sz="0" w:space="0" w:color="auto"/>
            <w:left w:val="none" w:sz="0" w:space="0" w:color="auto"/>
            <w:bottom w:val="none" w:sz="0" w:space="0" w:color="auto"/>
            <w:right w:val="none" w:sz="0" w:space="0" w:color="auto"/>
          </w:divBdr>
        </w:div>
        <w:div w:id="869295154">
          <w:marLeft w:val="0"/>
          <w:marRight w:val="0"/>
          <w:marTop w:val="0"/>
          <w:marBottom w:val="0"/>
          <w:divBdr>
            <w:top w:val="none" w:sz="0" w:space="0" w:color="auto"/>
            <w:left w:val="none" w:sz="0" w:space="0" w:color="auto"/>
            <w:bottom w:val="none" w:sz="0" w:space="0" w:color="auto"/>
            <w:right w:val="none" w:sz="0" w:space="0" w:color="auto"/>
          </w:divBdr>
        </w:div>
        <w:div w:id="113529123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497646451">
          <w:marLeft w:val="0"/>
          <w:marRight w:val="0"/>
          <w:marTop w:val="0"/>
          <w:marBottom w:val="0"/>
          <w:divBdr>
            <w:top w:val="none" w:sz="0" w:space="0" w:color="auto"/>
            <w:left w:val="none" w:sz="0" w:space="0" w:color="auto"/>
            <w:bottom w:val="none" w:sz="0" w:space="0" w:color="auto"/>
            <w:right w:val="none" w:sz="0" w:space="0" w:color="auto"/>
          </w:divBdr>
        </w:div>
        <w:div w:id="1808549880">
          <w:marLeft w:val="0"/>
          <w:marRight w:val="0"/>
          <w:marTop w:val="0"/>
          <w:marBottom w:val="0"/>
          <w:divBdr>
            <w:top w:val="none" w:sz="0" w:space="0" w:color="auto"/>
            <w:left w:val="none" w:sz="0" w:space="0" w:color="auto"/>
            <w:bottom w:val="none" w:sz="0" w:space="0" w:color="auto"/>
            <w:right w:val="none" w:sz="0" w:space="0" w:color="auto"/>
          </w:divBdr>
        </w:div>
        <w:div w:id="1053819433">
          <w:marLeft w:val="0"/>
          <w:marRight w:val="0"/>
          <w:marTop w:val="0"/>
          <w:marBottom w:val="0"/>
          <w:divBdr>
            <w:top w:val="none" w:sz="0" w:space="0" w:color="auto"/>
            <w:left w:val="none" w:sz="0" w:space="0" w:color="auto"/>
            <w:bottom w:val="none" w:sz="0" w:space="0" w:color="auto"/>
            <w:right w:val="none" w:sz="0" w:space="0" w:color="auto"/>
          </w:divBdr>
        </w:div>
        <w:div w:id="1586956600">
          <w:marLeft w:val="0"/>
          <w:marRight w:val="0"/>
          <w:marTop w:val="0"/>
          <w:marBottom w:val="0"/>
          <w:divBdr>
            <w:top w:val="none" w:sz="0" w:space="0" w:color="auto"/>
            <w:left w:val="none" w:sz="0" w:space="0" w:color="auto"/>
            <w:bottom w:val="none" w:sz="0" w:space="0" w:color="auto"/>
            <w:right w:val="none" w:sz="0" w:space="0" w:color="auto"/>
          </w:divBdr>
        </w:div>
        <w:div w:id="814956765">
          <w:marLeft w:val="0"/>
          <w:marRight w:val="0"/>
          <w:marTop w:val="0"/>
          <w:marBottom w:val="0"/>
          <w:divBdr>
            <w:top w:val="none" w:sz="0" w:space="0" w:color="auto"/>
            <w:left w:val="none" w:sz="0" w:space="0" w:color="auto"/>
            <w:bottom w:val="none" w:sz="0" w:space="0" w:color="auto"/>
            <w:right w:val="none" w:sz="0" w:space="0" w:color="auto"/>
          </w:divBdr>
        </w:div>
        <w:div w:id="1803115696">
          <w:marLeft w:val="0"/>
          <w:marRight w:val="0"/>
          <w:marTop w:val="0"/>
          <w:marBottom w:val="0"/>
          <w:divBdr>
            <w:top w:val="none" w:sz="0" w:space="0" w:color="auto"/>
            <w:left w:val="none" w:sz="0" w:space="0" w:color="auto"/>
            <w:bottom w:val="none" w:sz="0" w:space="0" w:color="auto"/>
            <w:right w:val="none" w:sz="0" w:space="0" w:color="auto"/>
          </w:divBdr>
        </w:div>
        <w:div w:id="5838410">
          <w:marLeft w:val="0"/>
          <w:marRight w:val="0"/>
          <w:marTop w:val="0"/>
          <w:marBottom w:val="0"/>
          <w:divBdr>
            <w:top w:val="none" w:sz="0" w:space="0" w:color="auto"/>
            <w:left w:val="none" w:sz="0" w:space="0" w:color="auto"/>
            <w:bottom w:val="none" w:sz="0" w:space="0" w:color="auto"/>
            <w:right w:val="none" w:sz="0" w:space="0" w:color="auto"/>
          </w:divBdr>
        </w:div>
        <w:div w:id="463503089">
          <w:marLeft w:val="0"/>
          <w:marRight w:val="0"/>
          <w:marTop w:val="0"/>
          <w:marBottom w:val="0"/>
          <w:divBdr>
            <w:top w:val="none" w:sz="0" w:space="0" w:color="auto"/>
            <w:left w:val="none" w:sz="0" w:space="0" w:color="auto"/>
            <w:bottom w:val="none" w:sz="0" w:space="0" w:color="auto"/>
            <w:right w:val="none" w:sz="0" w:space="0" w:color="auto"/>
          </w:divBdr>
        </w:div>
        <w:div w:id="345793842">
          <w:marLeft w:val="0"/>
          <w:marRight w:val="0"/>
          <w:marTop w:val="0"/>
          <w:marBottom w:val="0"/>
          <w:divBdr>
            <w:top w:val="none" w:sz="0" w:space="0" w:color="auto"/>
            <w:left w:val="none" w:sz="0" w:space="0" w:color="auto"/>
            <w:bottom w:val="none" w:sz="0" w:space="0" w:color="auto"/>
            <w:right w:val="none" w:sz="0" w:space="0" w:color="auto"/>
          </w:divBdr>
        </w:div>
        <w:div w:id="1274554379">
          <w:marLeft w:val="0"/>
          <w:marRight w:val="0"/>
          <w:marTop w:val="0"/>
          <w:marBottom w:val="0"/>
          <w:divBdr>
            <w:top w:val="none" w:sz="0" w:space="0" w:color="auto"/>
            <w:left w:val="none" w:sz="0" w:space="0" w:color="auto"/>
            <w:bottom w:val="none" w:sz="0" w:space="0" w:color="auto"/>
            <w:right w:val="none" w:sz="0" w:space="0" w:color="auto"/>
          </w:divBdr>
        </w:div>
        <w:div w:id="52898001">
          <w:marLeft w:val="0"/>
          <w:marRight w:val="0"/>
          <w:marTop w:val="0"/>
          <w:marBottom w:val="0"/>
          <w:divBdr>
            <w:top w:val="none" w:sz="0" w:space="0" w:color="auto"/>
            <w:left w:val="none" w:sz="0" w:space="0" w:color="auto"/>
            <w:bottom w:val="none" w:sz="0" w:space="0" w:color="auto"/>
            <w:right w:val="none" w:sz="0" w:space="0" w:color="auto"/>
          </w:divBdr>
        </w:div>
        <w:div w:id="1873029623">
          <w:marLeft w:val="0"/>
          <w:marRight w:val="0"/>
          <w:marTop w:val="0"/>
          <w:marBottom w:val="0"/>
          <w:divBdr>
            <w:top w:val="none" w:sz="0" w:space="0" w:color="auto"/>
            <w:left w:val="none" w:sz="0" w:space="0" w:color="auto"/>
            <w:bottom w:val="none" w:sz="0" w:space="0" w:color="auto"/>
            <w:right w:val="none" w:sz="0" w:space="0" w:color="auto"/>
          </w:divBdr>
        </w:div>
        <w:div w:id="1523401670">
          <w:marLeft w:val="0"/>
          <w:marRight w:val="0"/>
          <w:marTop w:val="0"/>
          <w:marBottom w:val="0"/>
          <w:divBdr>
            <w:top w:val="none" w:sz="0" w:space="0" w:color="auto"/>
            <w:left w:val="none" w:sz="0" w:space="0" w:color="auto"/>
            <w:bottom w:val="none" w:sz="0" w:space="0" w:color="auto"/>
            <w:right w:val="none" w:sz="0" w:space="0" w:color="auto"/>
          </w:divBdr>
        </w:div>
      </w:divsChild>
    </w:div>
    <w:div w:id="1124037671">
      <w:bodyDiv w:val="1"/>
      <w:marLeft w:val="0"/>
      <w:marRight w:val="0"/>
      <w:marTop w:val="0"/>
      <w:marBottom w:val="0"/>
      <w:divBdr>
        <w:top w:val="none" w:sz="0" w:space="0" w:color="auto"/>
        <w:left w:val="none" w:sz="0" w:space="0" w:color="auto"/>
        <w:bottom w:val="none" w:sz="0" w:space="0" w:color="auto"/>
        <w:right w:val="none" w:sz="0" w:space="0" w:color="auto"/>
      </w:divBdr>
      <w:divsChild>
        <w:div w:id="1681658613">
          <w:marLeft w:val="0"/>
          <w:marRight w:val="0"/>
          <w:marTop w:val="0"/>
          <w:marBottom w:val="0"/>
          <w:divBdr>
            <w:top w:val="none" w:sz="0" w:space="0" w:color="auto"/>
            <w:left w:val="none" w:sz="0" w:space="0" w:color="auto"/>
            <w:bottom w:val="none" w:sz="0" w:space="0" w:color="auto"/>
            <w:right w:val="none" w:sz="0" w:space="0" w:color="auto"/>
          </w:divBdr>
        </w:div>
      </w:divsChild>
    </w:div>
    <w:div w:id="1353995457">
      <w:bodyDiv w:val="1"/>
      <w:marLeft w:val="0"/>
      <w:marRight w:val="0"/>
      <w:marTop w:val="0"/>
      <w:marBottom w:val="0"/>
      <w:divBdr>
        <w:top w:val="none" w:sz="0" w:space="0" w:color="auto"/>
        <w:left w:val="none" w:sz="0" w:space="0" w:color="auto"/>
        <w:bottom w:val="none" w:sz="0" w:space="0" w:color="auto"/>
        <w:right w:val="none" w:sz="0" w:space="0" w:color="auto"/>
      </w:divBdr>
      <w:divsChild>
        <w:div w:id="884415732">
          <w:marLeft w:val="0"/>
          <w:marRight w:val="0"/>
          <w:marTop w:val="0"/>
          <w:marBottom w:val="0"/>
          <w:divBdr>
            <w:top w:val="none" w:sz="0" w:space="0" w:color="auto"/>
            <w:left w:val="none" w:sz="0" w:space="0" w:color="auto"/>
            <w:bottom w:val="none" w:sz="0" w:space="0" w:color="auto"/>
            <w:right w:val="none" w:sz="0" w:space="0" w:color="auto"/>
          </w:divBdr>
        </w:div>
      </w:divsChild>
    </w:div>
    <w:div w:id="19446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1604E-D94E-491B-8F31-8BEB5053C12D}"/>
</file>

<file path=customXml/itemProps2.xml><?xml version="1.0" encoding="utf-8"?>
<ds:datastoreItem xmlns:ds="http://schemas.openxmlformats.org/officeDocument/2006/customXml" ds:itemID="{9B4A3955-5E10-47DD-B575-3D196E863842}">
  <ds:schemaRefs>
    <ds:schemaRef ds:uri="http://schemas.microsoft.com/sharepoint/v3/contenttype/forms"/>
  </ds:schemaRefs>
</ds:datastoreItem>
</file>

<file path=customXml/itemProps3.xml><?xml version="1.0" encoding="utf-8"?>
<ds:datastoreItem xmlns:ds="http://schemas.openxmlformats.org/officeDocument/2006/customXml" ds:itemID="{5DF31691-9323-4E6C-A1B7-CA18D29A8277}">
  <ds:schemaRefs>
    <ds:schemaRef ds:uri="http://schemas.microsoft.com/office/2006/metadata/properties"/>
    <ds:schemaRef ds:uri="http://schemas.microsoft.com/office/infopath/2007/PartnerControls"/>
    <ds:schemaRef ds:uri="a6b0a586-1ef6-4ab0-a76d-2a440b27d7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2025-01-27T16:09:00Z</dcterms:created>
  <dcterms:modified xsi:type="dcterms:W3CDTF">2025-04-11T12:27:00Z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